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 мая 2011 года N 995-ОЗ</w:t>
      </w:r>
      <w:r>
        <w:rPr>
          <w:rFonts w:ascii="Calibri" w:hAnsi="Calibri" w:cs="Calibri"/>
        </w:rPr>
        <w:br/>
      </w:r>
    </w:p>
    <w:p w:rsidR="00DB0FA1" w:rsidRDefault="00DB0FA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НОВГОРОДСКАЯ ОБЛАСТЬ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ОБЛАСТНОЙ ЗАКОН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СЧЕТНОЙ ПАЛАТЕ НОВГОРОДСКОЙ ОБЛАСТИ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Новгородской областной Думы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28.04.2011 N 1817-ОД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областных законов Новгородской области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31.10.2011 </w:t>
      </w:r>
      <w:hyperlink r:id="rId4" w:history="1">
        <w:r>
          <w:rPr>
            <w:rFonts w:ascii="Calibri" w:hAnsi="Calibri" w:cs="Calibri"/>
            <w:color w:val="0000FF"/>
          </w:rPr>
          <w:t>N 1103-ОЗ</w:t>
        </w:r>
      </w:hyperlink>
      <w:r>
        <w:rPr>
          <w:rFonts w:ascii="Calibri" w:hAnsi="Calibri" w:cs="Calibri"/>
        </w:rPr>
        <w:t xml:space="preserve">, от 27.01.2012 </w:t>
      </w:r>
      <w:hyperlink r:id="rId5" w:history="1">
        <w:r>
          <w:rPr>
            <w:rFonts w:ascii="Calibri" w:hAnsi="Calibri" w:cs="Calibri"/>
            <w:color w:val="0000FF"/>
          </w:rPr>
          <w:t>N 5-ОЗ</w:t>
        </w:r>
      </w:hyperlink>
      <w:r>
        <w:rPr>
          <w:rFonts w:ascii="Calibri" w:hAnsi="Calibri" w:cs="Calibri"/>
        </w:rPr>
        <w:t>,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01.04.2013 N </w:t>
      </w:r>
      <w:hyperlink r:id="rId6" w:history="1">
        <w:r>
          <w:rPr>
            <w:rFonts w:ascii="Calibri" w:hAnsi="Calibri" w:cs="Calibri"/>
            <w:color w:val="0000FF"/>
          </w:rPr>
          <w:t>237-ОЗ</w:t>
        </w:r>
      </w:hyperlink>
      <w:r>
        <w:rPr>
          <w:rFonts w:ascii="Calibri" w:hAnsi="Calibri" w:cs="Calibri"/>
        </w:rPr>
        <w:t>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1. Предмет регулирования настоящего областного закона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областной закон регулирует вопросы организации и деятельности Счетной палаты Новгородской области (далее - Счетная палата).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 Правовая основа организации и деятельности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Правовую основу организации и деятельности Счетной палаты составляют </w:t>
      </w:r>
      <w:hyperlink r:id="rId7" w:history="1">
        <w:r>
          <w:rPr>
            <w:rFonts w:ascii="Calibri" w:hAnsi="Calibri" w:cs="Calibri"/>
            <w:color w:val="0000FF"/>
          </w:rPr>
          <w:t>Конституция</w:t>
        </w:r>
      </w:hyperlink>
      <w:r>
        <w:rPr>
          <w:rFonts w:ascii="Calibri" w:hAnsi="Calibri" w:cs="Calibri"/>
        </w:rPr>
        <w:t xml:space="preserve"> Российской Федерации, Федеральный </w:t>
      </w:r>
      <w:hyperlink r:id="rId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(далее -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Федерации"), Бюджетный </w:t>
      </w:r>
      <w:hyperlink r:id="rId9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Российской Федерации, Федеральный </w:t>
      </w:r>
      <w:hyperlink r:id="rId1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7 февраля2011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года N 6-ФЗ "Об общих принципах организации и деятельности контрольно-счетных органов субъектов Российской Федерации и муниципальных образований" (далее -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образований"), иные федеральные законы и нормативные правовые акты Российской Федерации, </w:t>
      </w:r>
      <w:hyperlink r:id="rId11" w:history="1">
        <w:r>
          <w:rPr>
            <w:rFonts w:ascii="Calibri" w:hAnsi="Calibri" w:cs="Calibri"/>
            <w:color w:val="0000FF"/>
          </w:rPr>
          <w:t>Устав</w:t>
        </w:r>
      </w:hyperlink>
      <w:r>
        <w:rPr>
          <w:rFonts w:ascii="Calibri" w:hAnsi="Calibri" w:cs="Calibri"/>
        </w:rPr>
        <w:t xml:space="preserve"> Новгородской области, настоящий областной закон и иные нормативные правовые акты области.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3. Статус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Счетная палата является постоянно действующим органом внешнего государственного финансового контроля, образованным Новгородской областной Думой (далее - областная Дума) и подотчетным ей.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Счетная палата обладает организационной и функциональной независимостью и осуществляет свою деятельность самостоятельно.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Деятельность Счетной палаты не может быть приостановлена, в том числе в связи с досрочным прекращением полномочий областной Думы.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Счетная палата обладает правами юридического лица, имеет гербовую печать и бланки со своим наименованием и с изображением герба Новгородской области.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Местонахождение Счетной палаты - город Великий Новгород, пл. </w:t>
      </w:r>
      <w:proofErr w:type="spellStart"/>
      <w:proofErr w:type="gramStart"/>
      <w:r>
        <w:rPr>
          <w:rFonts w:ascii="Calibri" w:hAnsi="Calibri" w:cs="Calibri"/>
        </w:rPr>
        <w:t>Победы-Софийская</w:t>
      </w:r>
      <w:proofErr w:type="spellEnd"/>
      <w:proofErr w:type="gramEnd"/>
      <w:r>
        <w:rPr>
          <w:rFonts w:ascii="Calibri" w:hAnsi="Calibri" w:cs="Calibri"/>
        </w:rPr>
        <w:t>, д. 1.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4. Принципы деятельности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Деятельность Счетной палаты основывается на принципах законности, объективности, эффективности, независимости и гласности.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5. Состав и структура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Счетная палата образуется в составе председателя Счетной палаты, заместителя председателя Счетной палаты, аудиторов Счетной палаты и аппарата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Председатель Счетной палаты, заместитель председателя Счетной палаты и аудиторы Счетной палаты замещают в соответствии с областным </w:t>
      </w:r>
      <w:hyperlink r:id="rId1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12.09.2006 N 715-ОЗ "О некоторых вопросах правового регулирования государственной гражданской службы Новгородской области и деятельности лиц, замещающих государственные должности Новгородской области" государственные должности Новгородской области.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Срок полномочий председателя Счетной палаты, заместителя председателя Счетной палаты и аудиторов Счетной палаты составляет пять лет.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состав аппарата Счетной палаты входят инспекторы и иные штатные работники. На инспекторов Счетной палаты возлагаются обязанности по организации и непосредственному проведению внешнего государственного финансового контроля в пределах компетенции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Права, обязанности и ответственность работников Счетной палаты определяются Федеральным </w:t>
      </w:r>
      <w:hyperlink r:id="rId1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hyperlink r:id="rId14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о государственной гражданской службе, трудовым </w:t>
      </w:r>
      <w:hyperlink r:id="rId1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>, иными нормативными правовыми актами, содержащими нормы трудового права.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hyperlink r:id="rId16" w:history="1">
        <w:r>
          <w:rPr>
            <w:rFonts w:ascii="Calibri" w:hAnsi="Calibri" w:cs="Calibri"/>
            <w:color w:val="0000FF"/>
          </w:rPr>
          <w:t>Штатная численность</w:t>
        </w:r>
      </w:hyperlink>
      <w:r>
        <w:rPr>
          <w:rFonts w:ascii="Calibri" w:hAnsi="Calibri" w:cs="Calibri"/>
        </w:rPr>
        <w:t xml:space="preserve"> Счетной палаты устанавливается постановлением областной Думой по представлению председателя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Структура и штатное расписание Счетной палаты утверждаются председателем Счетной палаты исходя из возложенных на Счетную палату полномочий.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6. Порядок назначения на должность председателя Счетной палаты, заместителя председателя Счетной палаты и аудиторов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Председатель Счетной палаты, заместитель председателя Счетной палаты и аудиторы Счетной палаты назначаются на должность областной Думой.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Предложения о кандидатурах на должность председателя Счетной палаты вносятся в областную Думу: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председателем областной Думы;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депутатами областной Думы - не менее одной трети от установленного числа депутатов областной Думы;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Губернатором Новгородской области;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комитетами областной Думы.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Предложения о кандидатурах на должности заместителя председателя Счетной палаты и </w:t>
      </w:r>
      <w:r>
        <w:rPr>
          <w:rFonts w:ascii="Calibri" w:hAnsi="Calibri" w:cs="Calibri"/>
        </w:rPr>
        <w:lastRenderedPageBreak/>
        <w:t>аудиторов Счетной палаты вносятся в областную Думу председателем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Предложения о кандидатурах на должности председателя Счетной палаты, заместителя председателя Счетной палаты, аудитора Счетной палаты вносятся в областную Думу в следующие сроки: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30 календарных дней до окончания срока полномочий предыдущего председателя Счетной палаты, заместителя председателя Счетной палаты, аудитора Счетной палаты;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не позднее 30 календарных дней с момента досрочного освобождения от должности председателя Счетной палаты, заместителя председателя Счетной палаты, аудитора Счетной палаты в случаях, предусмотренных настоящим областным законом.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К предложениям о кандидатурах на должности председателя Счетной палаты, заместителя председателя Счетной палаты, аудитора Счетной палаты прилагаются документы, подтверждающие соответствие предлагаемых кандидатур требованиям </w:t>
      </w:r>
      <w:hyperlink w:anchor="Par79" w:history="1">
        <w:r>
          <w:rPr>
            <w:rFonts w:ascii="Calibri" w:hAnsi="Calibri" w:cs="Calibri"/>
            <w:color w:val="0000FF"/>
          </w:rPr>
          <w:t>статьи 7</w:t>
        </w:r>
      </w:hyperlink>
      <w:r>
        <w:rPr>
          <w:rFonts w:ascii="Calibri" w:hAnsi="Calibri" w:cs="Calibri"/>
        </w:rPr>
        <w:t xml:space="preserve"> настоящего областного закона.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Порядок рассмотрения кандидатур на должности председателя Счетной палаты, заместителя председателя Счетной палаты и аудиторов Счетной палаты устанавливается </w:t>
      </w:r>
      <w:hyperlink r:id="rId17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областной Думы.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0" w:name="Par79"/>
      <w:bookmarkEnd w:id="0"/>
      <w:r>
        <w:rPr>
          <w:rFonts w:ascii="Calibri" w:hAnsi="Calibri" w:cs="Calibri"/>
        </w:rPr>
        <w:t>Статья 7. Требования к кандидатурам на должности председателя Счетной палаты, заместителя председателя Счетной палаты и аудиторов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 должность председателя Счетной палаты, заместителя председателя Счетной палаты и аудиторов Счетной палаты назначаются граждане Российской Федерации, имеющие высшее экономическое или юридическое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10 (десяти) лет.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83"/>
      <w:bookmarkEnd w:id="1"/>
      <w:r>
        <w:rPr>
          <w:rFonts w:ascii="Calibri" w:hAnsi="Calibri" w:cs="Calibri"/>
        </w:rPr>
        <w:t>2. Гражданин Российской Федерации не может быть назначен на должность председателя Счетной палаты, заместителя председателя Счетной палаты или аудитора Счетной палаты в случае: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наличия у него неснятой или непогашенной судимости;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признания его недееспособным или ограниченно дееспособным решением суда, вступившим в законную силу;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отказа от прохождения процедуры оформления допуска к </w:t>
      </w:r>
      <w:hyperlink r:id="rId18" w:history="1">
        <w:r>
          <w:rPr>
            <w:rFonts w:ascii="Calibri" w:hAnsi="Calibri" w:cs="Calibri"/>
            <w:color w:val="0000FF"/>
          </w:rPr>
          <w:t>сведениям</w:t>
        </w:r>
      </w:hyperlink>
      <w:r>
        <w:rPr>
          <w:rFonts w:ascii="Calibri" w:hAnsi="Calibri" w:cs="Calibri"/>
        </w:rPr>
        <w:t xml:space="preserve">, составляющим государственную и иную охраняемую федеральным законом </w:t>
      </w:r>
      <w:hyperlink r:id="rId19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89"/>
      <w:bookmarkEnd w:id="2"/>
      <w:r>
        <w:rPr>
          <w:rFonts w:ascii="Calibri" w:hAnsi="Calibri" w:cs="Calibri"/>
        </w:rPr>
        <w:t>3. Председатель Счетной палаты, заместитель председателя Счетной палаты, аудиторы Счетной палаты не могут состоять в близком родстве или свойстве (родители, супруги, дети, братья, сестры, а также братья, сестры, родители и дети супругов) с председателем областной Думы, Губернатором Новгородской области, с руководителями судебных и правоохранительных органов, расположенных на территории Новгородской области.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На председателя Счетной палаты, заместителя председателя Счетной палаты и аудиторов Счетной палаты в соответствии с </w:t>
      </w:r>
      <w:hyperlink r:id="rId20" w:history="1">
        <w:r>
          <w:rPr>
            <w:rFonts w:ascii="Calibri" w:hAnsi="Calibri" w:cs="Calibri"/>
            <w:color w:val="0000FF"/>
          </w:rPr>
          <w:t>пунктом 2 статьи 2.1</w:t>
        </w:r>
      </w:hyperlink>
      <w:r>
        <w:rPr>
          <w:rFonts w:ascii="Calibri" w:hAnsi="Calibri" w:cs="Calibri"/>
        </w:rPr>
        <w:t xml:space="preserve"> Федерального закона "Об общих принципах организации законодательных (представительных) и исполнительных органов государственной </w:t>
      </w:r>
      <w:r>
        <w:rPr>
          <w:rFonts w:ascii="Calibri" w:hAnsi="Calibri" w:cs="Calibri"/>
        </w:rPr>
        <w:lastRenderedPageBreak/>
        <w:t xml:space="preserve">власти субъектов Российской Федерации" распространяются ограничения, установленные Федеральным </w:t>
      </w:r>
      <w:hyperlink r:id="rId2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 декабря 2008 года N 273-ФЗ "О противодействии коррупции" и другими федеральными законами.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Областного </w:t>
      </w:r>
      <w:hyperlink r:id="rId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Новгородской области от 27.01.2012 N 5-ОЗ)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Председатель Счетной палаты, заместитель председателя Счетной палаты и аудиторы Счетной палаты, а также лица, претендующие на замещение указанных должностей,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федеральным и областным законодательством.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8. Гарантии статуса должностных лиц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Председатель Счетной палаты, заместитель председателя Счетной палаты, аудиторы Счетной палаты и инспекторы Счетной палаты являются должностными лицами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Должностные лица Счетной палаты обладают гарантиями профессиональной независимости и иными гарантиями статуса должностных лиц, определенными в </w:t>
      </w:r>
      <w:hyperlink r:id="rId23" w:history="1">
        <w:r>
          <w:rPr>
            <w:rFonts w:ascii="Calibri" w:hAnsi="Calibri" w:cs="Calibri"/>
            <w:color w:val="0000FF"/>
          </w:rPr>
          <w:t>статье 8</w:t>
        </w:r>
      </w:hyperlink>
      <w:r>
        <w:rPr>
          <w:rFonts w:ascii="Calibri" w:hAnsi="Calibri" w:cs="Calibri"/>
        </w:rPr>
        <w:t xml:space="preserve">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Председатель Счетной палаты, заместитель председателя Счетной палаты, аудиторы Счетной палаты досрочно освобождаются от должности на основании решения областной Думы в случае: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вступления в законную силу обвинительного приговора суда в отношении председателя Счетной палаты, заместителя председателя Счетной палаты, аудитора Счетной палаты;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признания председателя Счетной палаты, заместителя председателя Счетной палаты, аудитора Счетной палаты недееспособным или ограниченно дееспособным вступившим в законную силу решением суда;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подачи письменного заявления об отставке;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нарушения требований законодательства Российской </w:t>
      </w:r>
      <w:proofErr w:type="gramStart"/>
      <w:r>
        <w:rPr>
          <w:rFonts w:ascii="Calibri" w:hAnsi="Calibri" w:cs="Calibri"/>
        </w:rPr>
        <w:t>Федерации</w:t>
      </w:r>
      <w:proofErr w:type="gramEnd"/>
      <w:r>
        <w:rPr>
          <w:rFonts w:ascii="Calibri" w:hAnsi="Calibri" w:cs="Calibri"/>
        </w:rPr>
        <w:t xml:space="preserve"> при осуществлении возложенных на председателя Счетной палаты, заместителя председателя Счетной палаты, аудитора Счетной палаты должностных полномочий или злоупотребления должностными полномочиями, если за решение о досрочном освобождении проголосует большинство от установленного числа депутатов областной Думы;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5-1) достижения председателем Счетной палаты, заместителем председателя Счетной палаты, аудитором Счетной палаты возраста 65 лет;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5-1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Областным </w:t>
      </w:r>
      <w:hyperlink r:id="rId2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выявления обстоятельств, предусмотренных </w:t>
      </w:r>
      <w:hyperlink w:anchor="Par83" w:history="1">
        <w:r>
          <w:rPr>
            <w:rFonts w:ascii="Calibri" w:hAnsi="Calibri" w:cs="Calibri"/>
            <w:color w:val="0000FF"/>
          </w:rPr>
          <w:t>частями 2</w:t>
        </w:r>
      </w:hyperlink>
      <w:r>
        <w:rPr>
          <w:rFonts w:ascii="Calibri" w:hAnsi="Calibri" w:cs="Calibri"/>
        </w:rPr>
        <w:t xml:space="preserve"> и </w:t>
      </w:r>
      <w:hyperlink w:anchor="Par89" w:history="1">
        <w:r>
          <w:rPr>
            <w:rFonts w:ascii="Calibri" w:hAnsi="Calibri" w:cs="Calibri"/>
            <w:color w:val="0000FF"/>
          </w:rPr>
          <w:t>3 статьи 7</w:t>
        </w:r>
      </w:hyperlink>
      <w:r>
        <w:rPr>
          <w:rFonts w:ascii="Calibri" w:hAnsi="Calibri" w:cs="Calibri"/>
        </w:rPr>
        <w:t xml:space="preserve"> настоящего областного закона.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8-1. Удостоверение председателя Счетной палаты, заместителя председателя Счетной палаты, аудитора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Областным </w:t>
      </w:r>
      <w:hyperlink r:id="rId2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Председатель Счетной палаты, заместитель председателя Счетной палаты, аудиторы Счетной палаты имеют удостоверения, являющиеся документами, подтверждающими их полномочия.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Положение об удостоверении председателя Счетной палаты, заместителя председателя Счетной палаты, аудитора Счетной палаты, образец и его описание утверждаются постановлением областной Думы.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9. Материальное и социальное обеспечение работников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Материальное и социальное обеспечение работников Счетной палаты осуществляется в соответствие с федеральным и областным законодательством.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Председателю Счетной палаты, заместителю председателя Счетной палаты и аудиторам Счетной палаты предоставляются ежегодный основной оплачиваемый отпуск продолжительностью 28 календарных дней, а также с учетом особого режима работы, выражающегося в ненормированном рабочем дне, ежегодный дополнительный оплачиваемый отпуск продолжительностью 20 календарных дней.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Председателю Счетной палаты предоставляется транспортное обслуживание, обеспечиваемое в связи с осуществлением им своих полномочий.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Организацию транспортного обслуживания председателя Счетной палаты обеспечивает Администрация Новгородской области в установленном ею порядке.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Исключена. - Областной </w:t>
      </w:r>
      <w:hyperlink r:id="rId26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Новгородской области от 31.10.2011 N 1103-ОЗ.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10. Полномочия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Счетная палата осуществляет следующие полномочия: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областного бюджета и бюджета территориального государственного внебюджетного фонда;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экспертиза проектов областных законов об областном бюджете, о бюджете территориального государственного внебюджетного фонда;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внешняя проверка годового отчета об исполнении областного бюджета, годового отчета об исполнении бюджета территориального государственного внебюджетного фонда;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организация и осуществление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законностью, результативностью (эффективностью и экономностью) использования средств областного бюджета, средств бюджетов территориальных государственных внебюджетных фондов и иных источников, предусмотренных законодательством Российской Федерации;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соблюдением установленного порядка управления и распоряжения государственным имуществом Новгородской области, в том числе охраняемыми результатами интеллектуальной деятельности и средствами индивидуализации, принадлежащими Новгородской области;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оценка эффективности предоставления налоговых и иных льгот и преимуществ, бюджетных кредитов за счет средств областного бюджета, а также оценка законности предоставления государственных гарантий и поручительств или обеспечения исполнения обязатель</w:t>
      </w:r>
      <w:proofErr w:type="gramStart"/>
      <w:r>
        <w:rPr>
          <w:rFonts w:ascii="Calibri" w:hAnsi="Calibri" w:cs="Calibri"/>
        </w:rPr>
        <w:t>ств др</w:t>
      </w:r>
      <w:proofErr w:type="gramEnd"/>
      <w:r>
        <w:rPr>
          <w:rFonts w:ascii="Calibri" w:hAnsi="Calibri" w:cs="Calibri"/>
        </w:rPr>
        <w:t>угими способами по сделкам, совершаемым юридическими лицами и индивидуальными предпринимателями за счет средств областного бюджета и государственного имущества Новгородской области;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 финансово-экономическая экспертиза проектов нормативных правовых актов области (включая обоснованность финансово-экономических обоснований) в части, касающейся расходных обязательств Новгородской области, а также государственных программ Новгородской области;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8) анализ бюджетного процесса в Новгородской области и подготовка предложений, направленных на его совершенствование;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9)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законностью, результативностью (эффективностью и экономностью) использования межбюджетных трансфертов, предоставленных из областного бюджета бюджетам </w:t>
      </w:r>
      <w:r>
        <w:rPr>
          <w:rFonts w:ascii="Calibri" w:hAnsi="Calibri" w:cs="Calibri"/>
        </w:rPr>
        <w:lastRenderedPageBreak/>
        <w:t xml:space="preserve">муниципальных образований, расположенных на территории Новгородской области, а также проверка местного бюджета в случаях, установленных Бюджетным </w:t>
      </w:r>
      <w:hyperlink r:id="rId27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10) подготовка информации о ходе исполнения областного бюджета, бюджета территориального государственного внебюджетного фонда, о результатах проведенных контрольных и экспертно-аналитических мероприятий и представление такой информации в областную Думу и Губернатору Новгородской области;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11) участие в пределах полномочий в мероприятиях, направленных на противодействие коррупции;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12) иные полномочия в сфере внешнего государственного финансового контроля, установленные федеральными законами, </w:t>
      </w:r>
      <w:hyperlink r:id="rId28" w:history="1">
        <w:r>
          <w:rPr>
            <w:rFonts w:ascii="Calibri" w:hAnsi="Calibri" w:cs="Calibri"/>
            <w:color w:val="0000FF"/>
          </w:rPr>
          <w:t>Уставом</w:t>
        </w:r>
      </w:hyperlink>
      <w:r>
        <w:rPr>
          <w:rFonts w:ascii="Calibri" w:hAnsi="Calibri" w:cs="Calibri"/>
        </w:rPr>
        <w:t xml:space="preserve"> Новгородской области и областными законами.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Внешний государственный финансовый контроль осуществляется Счетной палатой в отношении органов и организаций, определенных в </w:t>
      </w:r>
      <w:hyperlink r:id="rId29" w:history="1">
        <w:r>
          <w:rPr>
            <w:rFonts w:ascii="Calibri" w:hAnsi="Calibri" w:cs="Calibri"/>
            <w:color w:val="0000FF"/>
          </w:rPr>
          <w:t>части 4 статьи 9</w:t>
        </w:r>
      </w:hyperlink>
      <w:r>
        <w:rPr>
          <w:rFonts w:ascii="Calibri" w:hAnsi="Calibri" w:cs="Calibri"/>
        </w:rPr>
        <w:t xml:space="preserve">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3" w:name="Par151"/>
      <w:bookmarkEnd w:id="3"/>
      <w:r>
        <w:rPr>
          <w:rFonts w:ascii="Calibri" w:hAnsi="Calibri" w:cs="Calibri"/>
        </w:rPr>
        <w:t>Статья 11. Формы и стандарты внешнего государственного финансового контроля, осуществляемого Счетной палатой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Внешний государственный финансовый контроль осуществляется Счетной палатой в форме контрольных или экспертно-аналитических мероприятий.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 проведении контрольного мероприятия Счетной палатой составляется соответствующий акт (акты), который доводится до сведения руководителей проверяемых органов и организаций. На основании акта (актов) Счетной палатой составляется отчет.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При проведении экспертно-аналитического мероприятия Счетная палата составляет отчет или заключение.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Счетная палата при осуществлении внешнего государственного финансового контроля руководствуется </w:t>
      </w:r>
      <w:hyperlink r:id="rId30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федеральным и областным законодательством, а также стандартами внешнего государственного финансового контроля.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 ред. Областного </w:t>
      </w:r>
      <w:hyperlink r:id="rId3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Стандарты внешнего государственного финансового контроля для проведения контрольных и экспертно-аналитических мероприятий утверждаются Счетной палатой: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в отношении органов государственной власти и государственных органов Новгородской области, органов территориальных государственных внебюджетных фондов, органов местного самоуправления и муниципальных органов, государственных учреждений и унитарных предприятий Новгородской области - в соответствии с общими требованиями, утвержденными Счетной палатой Российской Федерации;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в отношении иных организаций - в соответствии с общими требованиями, установленными федеральным законом.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5 введена Областным </w:t>
      </w:r>
      <w:hyperlink r:id="rId3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При подготовке стандартов внешнего государственного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6 введена Областным </w:t>
      </w:r>
      <w:hyperlink r:id="rId3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Стандарты внешнего государственного финансового контроля Счетной палаты не могут противоречить федеральному и (или) областному законодательству.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7 введена Областным </w:t>
      </w:r>
      <w:hyperlink r:id="rId3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12. Планирование деятельности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Счетная палата осуществляет свою деятельность на основе годового плана работы Счетной палаты, который разрабатывается и утверждается ею самостоятельно.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Годовой план работы Счетной палаты утверждается в срок до 30 декабря года, предшествующего </w:t>
      </w:r>
      <w:proofErr w:type="gramStart"/>
      <w:r>
        <w:rPr>
          <w:rFonts w:ascii="Calibri" w:hAnsi="Calibri" w:cs="Calibri"/>
        </w:rPr>
        <w:t>планируемому</w:t>
      </w:r>
      <w:proofErr w:type="gramEnd"/>
      <w:r>
        <w:rPr>
          <w:rFonts w:ascii="Calibri" w:hAnsi="Calibri" w:cs="Calibri"/>
        </w:rPr>
        <w:t>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Планирование деятельности Счетной палаты осуществляется с учетом результатов контрольных и экспертно-аналитических мероприятий, а также на основании поручений областной Думы, предложений и запросов Губернатора Новгородской области.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Для включения в годовой план работы Счетной палаты поручения областной Думы, предложения и запросы Губернатора Новгородской области направляются в Счетную палату не позднее 15 декабря года, предшествующего </w:t>
      </w:r>
      <w:proofErr w:type="gramStart"/>
      <w:r>
        <w:rPr>
          <w:rFonts w:ascii="Calibri" w:hAnsi="Calibri" w:cs="Calibri"/>
        </w:rPr>
        <w:t>планируемому</w:t>
      </w:r>
      <w:proofErr w:type="gramEnd"/>
      <w:r>
        <w:rPr>
          <w:rFonts w:ascii="Calibri" w:hAnsi="Calibri" w:cs="Calibri"/>
        </w:rPr>
        <w:t>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Внесение изменений в годовой план работы Счетной палаты возможно только в случае необходимости проведения контрольных и (или) экспертно-аналитических мероприятий: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основании поручений областной Думы, предложений и запросов Губернатора Новгородской области;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результатам рассмотрения обращений граждан;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получении информации, подтвержденной документами и иными доказательствами, свидетельствующими о наличии признаков финансовых нарушений в деятельности органов и организаций, определенных в </w:t>
      </w:r>
      <w:hyperlink r:id="rId35" w:history="1">
        <w:r>
          <w:rPr>
            <w:rFonts w:ascii="Calibri" w:hAnsi="Calibri" w:cs="Calibri"/>
            <w:color w:val="0000FF"/>
          </w:rPr>
          <w:t>части 4 статьи 9</w:t>
        </w:r>
      </w:hyperlink>
      <w:r>
        <w:rPr>
          <w:rFonts w:ascii="Calibri" w:hAnsi="Calibri" w:cs="Calibri"/>
        </w:rPr>
        <w:t xml:space="preserve">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13. Регламент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Внутренние вопросы деятельности Счетной палаты, порядок ведения документации, подготовки и проведения контрольных и экспертно-аналитических мероприятий определяются Регламентом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Регламент Счетной палаты подлежит обязательному размещению на официальном сайте Счетной палаты в информационно-телекоммуникационной сети Интернет (далее - сеть Интернет).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14. Полномочия председателя, заместителя председателя и аудиторов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Председатель Счетной палаты: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осуществляет общее руководство деятельностью Счетной палаты и организует работу Счетной палаты в соответствии с федеральным и областным законодательством;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утверждает годовой план работы Счетной палаты;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утверждает стандарты внешнего государственного финансового контроля в пределах полномочий, установленных </w:t>
      </w:r>
      <w:hyperlink w:anchor="Par151" w:history="1">
        <w:r>
          <w:rPr>
            <w:rFonts w:ascii="Calibri" w:hAnsi="Calibri" w:cs="Calibri"/>
            <w:color w:val="0000FF"/>
          </w:rPr>
          <w:t>статьей 11</w:t>
        </w:r>
      </w:hyperlink>
      <w:r>
        <w:rPr>
          <w:rFonts w:ascii="Calibri" w:hAnsi="Calibri" w:cs="Calibri"/>
        </w:rPr>
        <w:t xml:space="preserve"> настоящего областного закона;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Областного </w:t>
      </w:r>
      <w:hyperlink r:id="rId3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представляет областной Думе ежегодный годовой отчет о деятельности Счетной палаты;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подписывает представления и предписания Счетной палаты;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представляет Счетную палату в отношениях с государственными органами Российской Федерации, государственными органами Новгородской области и органами местного самоуправления, другими контрольно-счетными органами и иными организациями;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 подписывает договоры, соглашения от имени Счетной палаты;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8) распределяет обязанности между заместителем председателя Счетной палаты и </w:t>
      </w:r>
      <w:r>
        <w:rPr>
          <w:rFonts w:ascii="Calibri" w:hAnsi="Calibri" w:cs="Calibri"/>
        </w:rPr>
        <w:lastRenderedPageBreak/>
        <w:t>аудиторами Счетной палаты;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9) утверждает положения о структурных подразделениях Счетной палаты;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10) утверждает структуру и штатное расписание в пределах установленной штатной численности и фонда оплаты труда, а также бюджетную смету Счетной палаты в пределах утвержденных бюджетных ассигнований;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11) осуществляет полномочия представителя нанимателя в соответствии с </w:t>
      </w:r>
      <w:hyperlink r:id="rId3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о государственной гражданской службе, трудовым </w:t>
      </w:r>
      <w:hyperlink r:id="rId3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>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12) решает иные вопросы, которые возложены на него законодательством.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Председатель Счетной палаты во исполнение возложенных на него полномочий издает приказы.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 истечении срока полномочий председатель Счетной палаты продолжает исполнять свои обязанности до назначения нового председателя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Заместитель председателя Счетной палаты выполняет должностные обязанности в соответствии с Регламентом Счетной палаты, в отсутствие председателя Счетной палаты выполняет его обязанности.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Аудиторы Счетной палаты возглавляют определенные направления деятельности Счетной палаты, могут являться руководителями контрольных и экспертно-аналитических мероприятий, организуют и осуществляют контрольные и экспертно-аналитические мероприятия. Аудиторы Счетной палаты в пределах своей компетенции, установленной Регламентом Счетной палаты, самостоятельно решают вопросы организации деятельности возглавляемых направлений и несут ответственность за ее результаты.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15. Обязательность исполнения требований должностных лиц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Требования и запросы должностных лиц Счетной палаты, связанные с осуществлением ими своих должностных полномочий, установленных федеральным и областным законодательством, являются обязательными для исполнения органами государственной власти и государственными органами Новгородской области, органами территориальных государственных внебюджетных фондов, органами местного самоуправления и муниципальными органами, организациями, в отношении которых осуществляется внешний государственный финансовый контроль (далее также - проверяемые органы и организации).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Неисполнение законных требований и запросов должностных лиц Счетной палаты, а также воспрепятствование осуществлению ими возложенных на них должностных полномочий влекут за собой ответственность, установленную федеральным и областным законодательством.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16. Права, обязанности и ответственность должностных лиц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Должностные лица Счетной палаты при осуществлении возложенных на них должностных полномочий имеют право: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31"/>
      <w:bookmarkEnd w:id="4"/>
      <w:r>
        <w:rPr>
          <w:rFonts w:ascii="Calibri" w:hAnsi="Calibri" w:cs="Calibri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федеральным законодательством.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Новгородской области,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</w:t>
      </w:r>
      <w:hyperlink r:id="rId39" w:history="1">
        <w:r>
          <w:rPr>
            <w:rFonts w:ascii="Calibri" w:hAnsi="Calibri" w:cs="Calibri"/>
            <w:color w:val="0000FF"/>
          </w:rPr>
          <w:t>государственную</w:t>
        </w:r>
      </w:hyperlink>
      <w:r>
        <w:rPr>
          <w:rFonts w:ascii="Calibri" w:hAnsi="Calibri" w:cs="Calibri"/>
        </w:rPr>
        <w:t xml:space="preserve">, служебную, коммерческую и иную охраняемую законом </w:t>
      </w:r>
      <w:hyperlink r:id="rId40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</w:t>
      </w:r>
      <w:hyperlink r:id="rId41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8) знакомиться с технической документацией к электронным базам данных;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9) составлять протоколы об административных правонарушениях в соответствии с областным </w:t>
      </w:r>
      <w:hyperlink r:id="rId4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01.07.2010 N 791-ОЗ "Об административных правонарушениях", а также в случаях, предусмотренных федеральным законодательством.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Должностные лица Счетной палаты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w:anchor="Par231" w:history="1">
        <w:r>
          <w:rPr>
            <w:rFonts w:ascii="Calibri" w:hAnsi="Calibri" w:cs="Calibri"/>
            <w:color w:val="0000FF"/>
          </w:rPr>
          <w:t>пунктом 2 части 1</w:t>
        </w:r>
      </w:hyperlink>
      <w:r>
        <w:rPr>
          <w:rFonts w:ascii="Calibri" w:hAnsi="Calibri" w:cs="Calibri"/>
        </w:rPr>
        <w:t xml:space="preserve"> настоящей статьи, должны незамедлительно (в течение 24 часов) письменно (в форме служебной записки) уведомить об этом председателя Счетной палаты в порядке, установленном Регламентом Счетной палаты.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Должностные лица Счетной палаты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Должностные лица Счетной палаты обязаны сохранять </w:t>
      </w:r>
      <w:hyperlink r:id="rId43" w:history="1">
        <w:r>
          <w:rPr>
            <w:rFonts w:ascii="Calibri" w:hAnsi="Calibri" w:cs="Calibri"/>
            <w:color w:val="0000FF"/>
          </w:rPr>
          <w:t>государственную</w:t>
        </w:r>
      </w:hyperlink>
      <w:r>
        <w:rPr>
          <w:rFonts w:ascii="Calibri" w:hAnsi="Calibri" w:cs="Calibri"/>
        </w:rPr>
        <w:t xml:space="preserve">, служебную, коммерческую и иную охраняемую законом </w:t>
      </w:r>
      <w:hyperlink r:id="rId44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Должностные лица Счетной палаты несут ответственность в соответствии с федеральным законодательством за достоверность и объективность результатов проводимых ими контрольных и экспертно-аналитических мероприятий, а также за разглашение </w:t>
      </w:r>
      <w:hyperlink r:id="rId45" w:history="1">
        <w:r>
          <w:rPr>
            <w:rFonts w:ascii="Calibri" w:hAnsi="Calibri" w:cs="Calibri"/>
            <w:color w:val="0000FF"/>
          </w:rPr>
          <w:t>государственной</w:t>
        </w:r>
      </w:hyperlink>
      <w:r>
        <w:rPr>
          <w:rFonts w:ascii="Calibri" w:hAnsi="Calibri" w:cs="Calibri"/>
        </w:rPr>
        <w:t xml:space="preserve"> и иной охраняемой законом </w:t>
      </w:r>
      <w:hyperlink r:id="rId46" w:history="1">
        <w:r>
          <w:rPr>
            <w:rFonts w:ascii="Calibri" w:hAnsi="Calibri" w:cs="Calibri"/>
            <w:color w:val="0000FF"/>
          </w:rPr>
          <w:t>тайны</w:t>
        </w:r>
      </w:hyperlink>
      <w:r>
        <w:rPr>
          <w:rFonts w:ascii="Calibri" w:hAnsi="Calibri" w:cs="Calibri"/>
        </w:rPr>
        <w:t>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>Председатель Счетной палаты, заместитель председателя Счетной палаты и аудиторы Счетной палаты вправе участвовать в установленном порядке в заседаниях областной Думы, ее комитетов, комиссий и рабочих групп, в работе коллегиальных и совещательных органов, создаваемых при Администрации Новгородской области и иных исполнительных органах государственной власти Новгородской области, а также в заседаниях консультативно-совещательных и (или) координационных органов при Губернаторе Новгородской области.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Статья 17. Представление информации по запросам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Областного </w:t>
      </w:r>
      <w:hyperlink r:id="rId4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54"/>
      <w:bookmarkEnd w:id="5"/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Органы государственной власти и государственные органы Новгородской области, органы управления государственными внебюджетными фондами, органы местного самоуправления и муниципальные органы, организации, в отношении которых Счетная палата вправе осуществлять внешний государственный финансовый контроль, их должностные лица, а также территориальные органы федеральных органов исполнительной власти и их структурные подразделения обязаны в 5-дневный срок представлять Счетной палате по ее запросам информацию, документы и материалы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необходимые для проведения контрольных и экспертно-аналитических мероприятий.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Областного </w:t>
      </w:r>
      <w:hyperlink r:id="rId4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Срок ответов на запросы Счетной палаты, направленные в рамках проведения контрольных и экспертно-аналитических мероприятий на основании поручений областной Думы, предложений и запросов Губернатора Новгородской области определяется Счетной палатой и может составлять менее 5 (пяти) дней.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Запросы Счетной палаты направляются органам и организациям, указанным в </w:t>
      </w:r>
      <w:hyperlink w:anchor="Par254" w:history="1">
        <w:r>
          <w:rPr>
            <w:rFonts w:ascii="Calibri" w:hAnsi="Calibri" w:cs="Calibri"/>
            <w:color w:val="0000FF"/>
          </w:rPr>
          <w:t>части 1</w:t>
        </w:r>
      </w:hyperlink>
      <w:r>
        <w:rPr>
          <w:rFonts w:ascii="Calibri" w:hAnsi="Calibri" w:cs="Calibri"/>
        </w:rPr>
        <w:t xml:space="preserve"> настоящей статьи, почтовым отправлением, с использованием курьерской связи или иным образом, обеспечивающим представление подлинного экземпляра запроса, в порядке, определяемом Регламентом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Областного </w:t>
      </w:r>
      <w:hyperlink r:id="rId4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Новгородской области от 01.04.2013 N 237-ОЗ)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Счетная палата не вправе запрашивать информацию, документы и материалы, если такие информация, документы и материалы ранее уже были представлены.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Непредставление или несвоевременное представление органами и организациями, указанными в </w:t>
      </w:r>
      <w:hyperlink w:anchor="Par254" w:history="1">
        <w:r>
          <w:rPr>
            <w:rFonts w:ascii="Calibri" w:hAnsi="Calibri" w:cs="Calibri"/>
            <w:color w:val="0000FF"/>
          </w:rPr>
          <w:t>части 1</w:t>
        </w:r>
      </w:hyperlink>
      <w:r>
        <w:rPr>
          <w:rFonts w:ascii="Calibri" w:hAnsi="Calibri" w:cs="Calibri"/>
        </w:rPr>
        <w:t xml:space="preserve"> настоящей статьи, Счетной палате по ее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предоставление недостоверных информации, документов и материалов влечет за собой ответственность, установленную федеральным и (или) областным законодательством.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18. Представления и предписания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Счетная палата по результатам проведения контрольных мероприятий вправе вносить в органы государственной власти и государственные органы Новгородской области, органы местного самоуправления и муниципальные органы, проверяемые органы и организации и их должностным лицам представления для их рассмотрения и принятия мер по устранению выявленных нарушений и недостатков, предотвращению нанесения материального ущерба Новгородской области или возмещению причиненного вреда, по привлечению к ответственности должностных</w:t>
      </w:r>
      <w:proofErr w:type="gramEnd"/>
      <w:r>
        <w:rPr>
          <w:rFonts w:ascii="Calibri" w:hAnsi="Calibri" w:cs="Calibri"/>
        </w:rPr>
        <w:t xml:space="preserve"> лиц, виновных в допущенных нарушениях, а также мер по пресечению, устранению и предупреждению нарушений.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Представление Счетной палаты подписывается председателем Счетной палаты либо заместителем председателя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Органы государственной власти и государственные органы Новгородской области, органы местного самоуправления и муниципальные органы, а также организации в течение одного месяца со дня получения представления обязаны уведомить в письменной форме Счетную палату о принятых по результатам рассмотрения представления решениях и мерах.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случае выявления нарушений, требующих безотлагательных мер по их пресечению и </w:t>
      </w:r>
      <w:r>
        <w:rPr>
          <w:rFonts w:ascii="Calibri" w:hAnsi="Calibri" w:cs="Calibri"/>
        </w:rPr>
        <w:lastRenderedPageBreak/>
        <w:t>предупреждению, воспрепятствования проведению должностными лицами Счетной палаты контрольных мероприятий Счетная палата направляет в органы государственной власти и государственные органы Новгородской области, органы местного самоуправления и муниципальные органы, проверяемые органы и организации и их должностным лицам предписание.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Предписание Счетной палаты должно содержать указание на конкретные допущенные нарушения и конкретные основания вынесения предписания.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Предписание Счетной палаты подписывается председателем Счетной палаты либо заместителем председателя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Предписание Счетной палаты должно быть исполнено в установленные в нем сроки.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Неисполнение или ненадлежащее исполнение предписания Счетной палаты влечет за собой ответственность, установленную федеральным и (или) областным законодательством.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В случае если при проведении контрольных мероприятий выявлены факты незаконного использования средств областного бюджета и (или) местного бюджета, а также средств бюджета территориального государственного внебюджетного фонда, в которых усматриваются признаки преступления или коррупционного правонарушения, Счетная палата незамедлительно передает материалы контрольных мероприятий в правоохранительные органы.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19. Гарантии прав проверяемых органов и организаций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Акты, составленные Счетной палатой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 представляются в течение пяти рабочих дней со дня получения акта, прилагаются к актам и в дальнейшем являются их неотъемлемой частью.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Проверяемые органы и организации и их должностные лица вправе обратиться с жалобой на действия (бездействие) Счетной палаты в областную Думу.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20. Взаимодействие Счетной палаты с иными органами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Взаимодействие Счетной палаты с иными органами осуществляется в соответствии со </w:t>
      </w:r>
      <w:hyperlink r:id="rId50" w:history="1">
        <w:r>
          <w:rPr>
            <w:rFonts w:ascii="Calibri" w:hAnsi="Calibri" w:cs="Calibri"/>
            <w:color w:val="0000FF"/>
          </w:rPr>
          <w:t>статьей 18</w:t>
        </w:r>
      </w:hyperlink>
      <w:r>
        <w:rPr>
          <w:rFonts w:ascii="Calibri" w:hAnsi="Calibri" w:cs="Calibri"/>
        </w:rPr>
        <w:t xml:space="preserve">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21. Обеспечение доступа к информации о деятельности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Счетная палата в целях обеспечения доступа к информации о своей деятельности размещает на своем официальном сайте в сети Интернет и опубликовывает в Информационном бюллетене Счетной палаты или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  <w:proofErr w:type="gramEnd"/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Счетная палата ежегодно представляет отчет о своей деятельности, который направляется на рассмотрение в областную Думу. Указанный отчет опубликовывается в средствах массовой информации или размещается в сети Интернет только после его рассмотрения областной Думой.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Опубликование в средствах массовой информации или размещение в сети Интернет </w:t>
      </w:r>
      <w:r>
        <w:rPr>
          <w:rFonts w:ascii="Calibri" w:hAnsi="Calibri" w:cs="Calibri"/>
        </w:rPr>
        <w:lastRenderedPageBreak/>
        <w:t>информации о деятельности Счетной палаты осуществляется в соответствии с федеральным законодательством, областными законами и Регламентом Счетной палаты.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22. Финансовое обеспечение деятельности Счетной палаты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Финансовое обеспечение деятельности Счетной палаты предусматривается в объеме, позволяющем обеспечить осуществление возложенных на нее полномочий.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Расходы на обеспечение деятельности Счетной палаты осуществляются за счет средств областного бюджета в соответствии с бюджетной классификацией Российской Федерации.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использованием Счетной палатой бюджетных средств и государственного имущества Новгородской области осуществляется на основании постановлений областной Думы.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23. Переходные положения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Счетной палаты, заместитель председателя Счетной палаты и аудиторы Счетной палаты, назначенные до вступления в силу настоящего областного закона, осуществляют свои полномочия до истечения срока полномочия, на который они назначены.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24. Признание </w:t>
      </w:r>
      <w:proofErr w:type="gramStart"/>
      <w:r>
        <w:rPr>
          <w:rFonts w:ascii="Calibri" w:hAnsi="Calibri" w:cs="Calibri"/>
        </w:rPr>
        <w:t>утратившими</w:t>
      </w:r>
      <w:proofErr w:type="gramEnd"/>
      <w:r>
        <w:rPr>
          <w:rFonts w:ascii="Calibri" w:hAnsi="Calibri" w:cs="Calibri"/>
        </w:rPr>
        <w:t xml:space="preserve"> силу областных законов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Признать утратившими силу: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областной </w:t>
      </w:r>
      <w:hyperlink r:id="rId5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05.06.2003 N 153-ОЗ "О Счетной палате Новгородской области" (газета "Новгородские ведомости" от 10.06.2003);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областной </w:t>
      </w:r>
      <w:hyperlink r:id="rId5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05.03.2005 N 423-ОЗ "О внесении изменения в статью 30 областного закона "О Счетной палате Новгородской области" (газета "Новгородские ведомости" от 15.03.2005);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областной </w:t>
      </w:r>
      <w:hyperlink r:id="rId53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06.02.2006 N 613-ОЗ "О внесении изменений в областной закон "О Счетной палате Новгородской области" (газета "Новгородские ведомости" от 15.02.2006);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областной </w:t>
      </w:r>
      <w:hyperlink r:id="rId54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03.04.2006 N 650-ОЗ "О внесении изменений в статьи 5 и 31 областного закона "О Счетной палате Новгородской области" (газета "Новгородские ведомости" от 11.04.2006);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</w:t>
      </w:r>
      <w:hyperlink r:id="rId55" w:history="1">
        <w:r>
          <w:rPr>
            <w:rFonts w:ascii="Calibri" w:hAnsi="Calibri" w:cs="Calibri"/>
            <w:color w:val="0000FF"/>
          </w:rPr>
          <w:t>статью 2</w:t>
        </w:r>
      </w:hyperlink>
      <w:r>
        <w:rPr>
          <w:rFonts w:ascii="Calibri" w:hAnsi="Calibri" w:cs="Calibri"/>
        </w:rPr>
        <w:t xml:space="preserve"> областного закона от 08.09.2006 N 711-ОЗ "О внесении изменений в некоторые областные законы" (газета "Новгородские ведомости" от 13.09.2006);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областной </w:t>
      </w:r>
      <w:hyperlink r:id="rId56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09.01.2007 N 25-ОЗ "О внесении изменений в областной закон "О Счетной палате Новгородской области" (газета "Новгородские ведомости" от 17.01.2007);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</w:t>
      </w:r>
      <w:hyperlink r:id="rId57" w:history="1">
        <w:r>
          <w:rPr>
            <w:rFonts w:ascii="Calibri" w:hAnsi="Calibri" w:cs="Calibri"/>
            <w:color w:val="0000FF"/>
          </w:rPr>
          <w:t>статью 1</w:t>
        </w:r>
      </w:hyperlink>
      <w:r>
        <w:rPr>
          <w:rFonts w:ascii="Calibri" w:hAnsi="Calibri" w:cs="Calibri"/>
        </w:rPr>
        <w:t xml:space="preserve"> областного закона от 27.04.2007 N 88-ОЗ "О внесении изменений в некоторые областные законы в части уточнения требований к лицам, замещающим государственные должности Новгородской области" (газета "Новгородские ведомости" от 08.05.2007);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8) областной </w:t>
      </w:r>
      <w:hyperlink r:id="rId5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06.08.2008 N 355-ОЗ "О внесении изменений в областной закон "О Счетной палате Новгородской области" (газета "Новгородские ведомости" от 13.08.2008);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9) областной </w:t>
      </w:r>
      <w:hyperlink r:id="rId59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30.03.2010 N 713-ОЗ "О внесении изменений в областной закон "О Счетной палате Новгородской области" (газета "Новгородские ведомости" от 05.04.2010);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10) областной </w:t>
      </w:r>
      <w:hyperlink r:id="rId6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01.06.2010 N 763-ОЗ "О внесении изменения в статью 1 областного закона "О внесении изменений в областной закон "О Счетной палате Новгородской области" (газета "Новгородские ведомости" от 09.06.2010);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11) </w:t>
      </w:r>
      <w:hyperlink r:id="rId61" w:history="1">
        <w:r>
          <w:rPr>
            <w:rFonts w:ascii="Calibri" w:hAnsi="Calibri" w:cs="Calibri"/>
            <w:color w:val="0000FF"/>
          </w:rPr>
          <w:t>статью 2</w:t>
        </w:r>
      </w:hyperlink>
      <w:r>
        <w:rPr>
          <w:rFonts w:ascii="Calibri" w:hAnsi="Calibri" w:cs="Calibri"/>
        </w:rPr>
        <w:t xml:space="preserve"> областного закона от 23.12.2010 N 887-ОЗ "О внесении изменений в некоторые областные законы в части транспортного обслуживания лиц, замещающих государственные должности Новгородской области" (газета "Новгородские ведомости" от 30.12.2010).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25. Вступление в силу настоящего областного закона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областной закон вступает в силу с 1 октября 2011 года.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области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С.Г.МИТИН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Великий Новгород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5 мая 2011 года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995-ОЗ</w:t>
      </w: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B0FA1" w:rsidRDefault="00DB0FA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15E4A" w:rsidRDefault="00315E4A">
      <w:bookmarkStart w:id="6" w:name="_GoBack"/>
      <w:bookmarkEnd w:id="6"/>
    </w:p>
    <w:sectPr w:rsidR="00315E4A" w:rsidSect="006B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FA1"/>
    <w:rsid w:val="00001B7A"/>
    <w:rsid w:val="000165CD"/>
    <w:rsid w:val="00033F5F"/>
    <w:rsid w:val="00044D9C"/>
    <w:rsid w:val="00066C5F"/>
    <w:rsid w:val="00072F41"/>
    <w:rsid w:val="0007519B"/>
    <w:rsid w:val="000756F7"/>
    <w:rsid w:val="000915D9"/>
    <w:rsid w:val="000B209B"/>
    <w:rsid w:val="000C2102"/>
    <w:rsid w:val="000C60DF"/>
    <w:rsid w:val="000E2518"/>
    <w:rsid w:val="00101A57"/>
    <w:rsid w:val="001034F9"/>
    <w:rsid w:val="001205B8"/>
    <w:rsid w:val="00121DB8"/>
    <w:rsid w:val="00125A04"/>
    <w:rsid w:val="001326B8"/>
    <w:rsid w:val="001514EC"/>
    <w:rsid w:val="00163882"/>
    <w:rsid w:val="00167AFD"/>
    <w:rsid w:val="00186109"/>
    <w:rsid w:val="00193F12"/>
    <w:rsid w:val="001A60DB"/>
    <w:rsid w:val="001B2A85"/>
    <w:rsid w:val="001C1F82"/>
    <w:rsid w:val="001C4A11"/>
    <w:rsid w:val="001D2144"/>
    <w:rsid w:val="001D5980"/>
    <w:rsid w:val="001E1EFC"/>
    <w:rsid w:val="001F656D"/>
    <w:rsid w:val="0020489F"/>
    <w:rsid w:val="00211386"/>
    <w:rsid w:val="002118F3"/>
    <w:rsid w:val="00214CC0"/>
    <w:rsid w:val="00220C2C"/>
    <w:rsid w:val="00234BB6"/>
    <w:rsid w:val="0024015C"/>
    <w:rsid w:val="00243F1F"/>
    <w:rsid w:val="00253BCB"/>
    <w:rsid w:val="0025696E"/>
    <w:rsid w:val="002733BA"/>
    <w:rsid w:val="00277B62"/>
    <w:rsid w:val="002833CC"/>
    <w:rsid w:val="00286F62"/>
    <w:rsid w:val="00297620"/>
    <w:rsid w:val="002A1386"/>
    <w:rsid w:val="002A2C36"/>
    <w:rsid w:val="002A30A8"/>
    <w:rsid w:val="002A480B"/>
    <w:rsid w:val="002B0E05"/>
    <w:rsid w:val="002B3D18"/>
    <w:rsid w:val="002C6675"/>
    <w:rsid w:val="002D0373"/>
    <w:rsid w:val="002D1829"/>
    <w:rsid w:val="002D3094"/>
    <w:rsid w:val="002D6DB5"/>
    <w:rsid w:val="002F0A59"/>
    <w:rsid w:val="00303277"/>
    <w:rsid w:val="00304661"/>
    <w:rsid w:val="00305778"/>
    <w:rsid w:val="003121D7"/>
    <w:rsid w:val="00315E4A"/>
    <w:rsid w:val="0037533C"/>
    <w:rsid w:val="00384448"/>
    <w:rsid w:val="0038509D"/>
    <w:rsid w:val="00387ACF"/>
    <w:rsid w:val="00390A97"/>
    <w:rsid w:val="00392F45"/>
    <w:rsid w:val="003965A5"/>
    <w:rsid w:val="003A23C3"/>
    <w:rsid w:val="003A2495"/>
    <w:rsid w:val="003A2C43"/>
    <w:rsid w:val="003A7924"/>
    <w:rsid w:val="003B2C60"/>
    <w:rsid w:val="003B69F4"/>
    <w:rsid w:val="003D666C"/>
    <w:rsid w:val="00412CBF"/>
    <w:rsid w:val="004311A1"/>
    <w:rsid w:val="00435C19"/>
    <w:rsid w:val="00445B96"/>
    <w:rsid w:val="00461BF2"/>
    <w:rsid w:val="004704BA"/>
    <w:rsid w:val="00490EB1"/>
    <w:rsid w:val="00493B14"/>
    <w:rsid w:val="004A23C5"/>
    <w:rsid w:val="004B15A3"/>
    <w:rsid w:val="004B790E"/>
    <w:rsid w:val="004F0C64"/>
    <w:rsid w:val="004F1B82"/>
    <w:rsid w:val="00504337"/>
    <w:rsid w:val="005129D9"/>
    <w:rsid w:val="00514BFE"/>
    <w:rsid w:val="00526452"/>
    <w:rsid w:val="00534545"/>
    <w:rsid w:val="00537967"/>
    <w:rsid w:val="00542207"/>
    <w:rsid w:val="00545A94"/>
    <w:rsid w:val="00550210"/>
    <w:rsid w:val="00565071"/>
    <w:rsid w:val="005705E0"/>
    <w:rsid w:val="005712D4"/>
    <w:rsid w:val="00571DE6"/>
    <w:rsid w:val="00583485"/>
    <w:rsid w:val="0059604D"/>
    <w:rsid w:val="005A7286"/>
    <w:rsid w:val="005C5193"/>
    <w:rsid w:val="005D2E50"/>
    <w:rsid w:val="005D330B"/>
    <w:rsid w:val="005D7966"/>
    <w:rsid w:val="005E1E97"/>
    <w:rsid w:val="005E3E48"/>
    <w:rsid w:val="005F04A5"/>
    <w:rsid w:val="005F2E76"/>
    <w:rsid w:val="0060263F"/>
    <w:rsid w:val="00611806"/>
    <w:rsid w:val="0062158A"/>
    <w:rsid w:val="00626775"/>
    <w:rsid w:val="00631399"/>
    <w:rsid w:val="0064531C"/>
    <w:rsid w:val="006467C4"/>
    <w:rsid w:val="006658D0"/>
    <w:rsid w:val="00666F8E"/>
    <w:rsid w:val="006738C2"/>
    <w:rsid w:val="006751FD"/>
    <w:rsid w:val="00675A2F"/>
    <w:rsid w:val="006B0E28"/>
    <w:rsid w:val="006B33F2"/>
    <w:rsid w:val="006B7F0D"/>
    <w:rsid w:val="006D3742"/>
    <w:rsid w:val="006E737C"/>
    <w:rsid w:val="006F694E"/>
    <w:rsid w:val="007040C6"/>
    <w:rsid w:val="00707063"/>
    <w:rsid w:val="007124E5"/>
    <w:rsid w:val="00716B2D"/>
    <w:rsid w:val="007221D9"/>
    <w:rsid w:val="0072383F"/>
    <w:rsid w:val="00734DB1"/>
    <w:rsid w:val="00737485"/>
    <w:rsid w:val="007418BC"/>
    <w:rsid w:val="007424CA"/>
    <w:rsid w:val="007449E0"/>
    <w:rsid w:val="00745615"/>
    <w:rsid w:val="0074569D"/>
    <w:rsid w:val="0074632A"/>
    <w:rsid w:val="0075108E"/>
    <w:rsid w:val="00751C42"/>
    <w:rsid w:val="00752256"/>
    <w:rsid w:val="007534DD"/>
    <w:rsid w:val="007558C6"/>
    <w:rsid w:val="007572F8"/>
    <w:rsid w:val="00765B38"/>
    <w:rsid w:val="00786D7E"/>
    <w:rsid w:val="00786FCA"/>
    <w:rsid w:val="007949AD"/>
    <w:rsid w:val="007B4424"/>
    <w:rsid w:val="007B6244"/>
    <w:rsid w:val="007C2610"/>
    <w:rsid w:val="007C41E7"/>
    <w:rsid w:val="007D1C0D"/>
    <w:rsid w:val="007D5F04"/>
    <w:rsid w:val="007E6A13"/>
    <w:rsid w:val="007E7955"/>
    <w:rsid w:val="007F0B8A"/>
    <w:rsid w:val="007F3BDD"/>
    <w:rsid w:val="007F5500"/>
    <w:rsid w:val="007F76B2"/>
    <w:rsid w:val="00802525"/>
    <w:rsid w:val="00814921"/>
    <w:rsid w:val="00820E60"/>
    <w:rsid w:val="008371E8"/>
    <w:rsid w:val="00850CED"/>
    <w:rsid w:val="0086304D"/>
    <w:rsid w:val="008645F7"/>
    <w:rsid w:val="00871019"/>
    <w:rsid w:val="008932C5"/>
    <w:rsid w:val="00897E8B"/>
    <w:rsid w:val="008A18D2"/>
    <w:rsid w:val="008A67D1"/>
    <w:rsid w:val="008A77BB"/>
    <w:rsid w:val="008B5790"/>
    <w:rsid w:val="008B6472"/>
    <w:rsid w:val="008E00A8"/>
    <w:rsid w:val="008E0E2D"/>
    <w:rsid w:val="008F3867"/>
    <w:rsid w:val="00912B9C"/>
    <w:rsid w:val="009177E6"/>
    <w:rsid w:val="00917B0A"/>
    <w:rsid w:val="00931D8B"/>
    <w:rsid w:val="00932C22"/>
    <w:rsid w:val="009376DE"/>
    <w:rsid w:val="00944FBE"/>
    <w:rsid w:val="00953F0D"/>
    <w:rsid w:val="00956CD4"/>
    <w:rsid w:val="0095734F"/>
    <w:rsid w:val="009602BD"/>
    <w:rsid w:val="00971B01"/>
    <w:rsid w:val="00972E8E"/>
    <w:rsid w:val="00981B33"/>
    <w:rsid w:val="00987B9D"/>
    <w:rsid w:val="009944A1"/>
    <w:rsid w:val="00994512"/>
    <w:rsid w:val="009A5866"/>
    <w:rsid w:val="009C7E7C"/>
    <w:rsid w:val="009E06A8"/>
    <w:rsid w:val="009E0975"/>
    <w:rsid w:val="009E2A11"/>
    <w:rsid w:val="009E2D09"/>
    <w:rsid w:val="009F454E"/>
    <w:rsid w:val="00A107BD"/>
    <w:rsid w:val="00A24B65"/>
    <w:rsid w:val="00A26561"/>
    <w:rsid w:val="00A345C2"/>
    <w:rsid w:val="00A35A3B"/>
    <w:rsid w:val="00A36FA2"/>
    <w:rsid w:val="00A37B85"/>
    <w:rsid w:val="00A4606D"/>
    <w:rsid w:val="00A52550"/>
    <w:rsid w:val="00A53A53"/>
    <w:rsid w:val="00A577C3"/>
    <w:rsid w:val="00A66394"/>
    <w:rsid w:val="00A663E4"/>
    <w:rsid w:val="00A860AF"/>
    <w:rsid w:val="00A91C28"/>
    <w:rsid w:val="00AB4078"/>
    <w:rsid w:val="00AC3A33"/>
    <w:rsid w:val="00AC3D7D"/>
    <w:rsid w:val="00AE3A61"/>
    <w:rsid w:val="00AF1A79"/>
    <w:rsid w:val="00AF4218"/>
    <w:rsid w:val="00AF53B0"/>
    <w:rsid w:val="00AF604B"/>
    <w:rsid w:val="00B06C92"/>
    <w:rsid w:val="00B13DEE"/>
    <w:rsid w:val="00B1745A"/>
    <w:rsid w:val="00B25980"/>
    <w:rsid w:val="00B33C5A"/>
    <w:rsid w:val="00B37E3E"/>
    <w:rsid w:val="00B5122C"/>
    <w:rsid w:val="00B63306"/>
    <w:rsid w:val="00B756A9"/>
    <w:rsid w:val="00BA2825"/>
    <w:rsid w:val="00BB3918"/>
    <w:rsid w:val="00BB52BA"/>
    <w:rsid w:val="00BC1E56"/>
    <w:rsid w:val="00BC2091"/>
    <w:rsid w:val="00BD027E"/>
    <w:rsid w:val="00BD04A6"/>
    <w:rsid w:val="00BD60DB"/>
    <w:rsid w:val="00BE2CE1"/>
    <w:rsid w:val="00BE3349"/>
    <w:rsid w:val="00BF2428"/>
    <w:rsid w:val="00BF25F0"/>
    <w:rsid w:val="00BF503C"/>
    <w:rsid w:val="00BF765A"/>
    <w:rsid w:val="00C16F4E"/>
    <w:rsid w:val="00C2679B"/>
    <w:rsid w:val="00C33416"/>
    <w:rsid w:val="00C5233B"/>
    <w:rsid w:val="00C53ABF"/>
    <w:rsid w:val="00C55130"/>
    <w:rsid w:val="00C64B89"/>
    <w:rsid w:val="00C75014"/>
    <w:rsid w:val="00C80F87"/>
    <w:rsid w:val="00C96C84"/>
    <w:rsid w:val="00CA0BC9"/>
    <w:rsid w:val="00CA17CD"/>
    <w:rsid w:val="00CA3B20"/>
    <w:rsid w:val="00CA4630"/>
    <w:rsid w:val="00CA6DFA"/>
    <w:rsid w:val="00CB0750"/>
    <w:rsid w:val="00CB5419"/>
    <w:rsid w:val="00CB616D"/>
    <w:rsid w:val="00CC054B"/>
    <w:rsid w:val="00CE1215"/>
    <w:rsid w:val="00CE49B7"/>
    <w:rsid w:val="00CE54A0"/>
    <w:rsid w:val="00CE662A"/>
    <w:rsid w:val="00CF18BD"/>
    <w:rsid w:val="00CF2321"/>
    <w:rsid w:val="00D065DE"/>
    <w:rsid w:val="00D173A8"/>
    <w:rsid w:val="00D235D8"/>
    <w:rsid w:val="00D44079"/>
    <w:rsid w:val="00D46F7C"/>
    <w:rsid w:val="00D62AA5"/>
    <w:rsid w:val="00D80B51"/>
    <w:rsid w:val="00D87317"/>
    <w:rsid w:val="00DB0FA1"/>
    <w:rsid w:val="00DB1575"/>
    <w:rsid w:val="00DD4F00"/>
    <w:rsid w:val="00DF608A"/>
    <w:rsid w:val="00E03377"/>
    <w:rsid w:val="00E0514A"/>
    <w:rsid w:val="00E1086A"/>
    <w:rsid w:val="00E25312"/>
    <w:rsid w:val="00E300C0"/>
    <w:rsid w:val="00E3686B"/>
    <w:rsid w:val="00E41F3B"/>
    <w:rsid w:val="00E42304"/>
    <w:rsid w:val="00E54DEE"/>
    <w:rsid w:val="00E71F95"/>
    <w:rsid w:val="00E77673"/>
    <w:rsid w:val="00E77BBD"/>
    <w:rsid w:val="00E83DE1"/>
    <w:rsid w:val="00E84283"/>
    <w:rsid w:val="00E90D90"/>
    <w:rsid w:val="00E971DD"/>
    <w:rsid w:val="00EA6E5E"/>
    <w:rsid w:val="00EB0B17"/>
    <w:rsid w:val="00EB295F"/>
    <w:rsid w:val="00EC43EF"/>
    <w:rsid w:val="00EC7ADE"/>
    <w:rsid w:val="00EE40CA"/>
    <w:rsid w:val="00EE41AD"/>
    <w:rsid w:val="00EF3B73"/>
    <w:rsid w:val="00EF7ED0"/>
    <w:rsid w:val="00F00F65"/>
    <w:rsid w:val="00F07CFF"/>
    <w:rsid w:val="00F106D2"/>
    <w:rsid w:val="00F1387A"/>
    <w:rsid w:val="00F14576"/>
    <w:rsid w:val="00F1478E"/>
    <w:rsid w:val="00F15377"/>
    <w:rsid w:val="00F44B4F"/>
    <w:rsid w:val="00F533D1"/>
    <w:rsid w:val="00F55F33"/>
    <w:rsid w:val="00F90E56"/>
    <w:rsid w:val="00F92179"/>
    <w:rsid w:val="00FA3057"/>
    <w:rsid w:val="00FA4DF6"/>
    <w:rsid w:val="00FA6BE7"/>
    <w:rsid w:val="00FC0543"/>
    <w:rsid w:val="00FC49A8"/>
    <w:rsid w:val="00FC4B8B"/>
    <w:rsid w:val="00FC5630"/>
    <w:rsid w:val="00FF1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FA7988FBD2EFDA548AC04F58881F547A4CD38F146141CF2DE50F547D5AA88BEC55BDD74FA7AAAE4g5W0M" TargetMode="External"/><Relationship Id="rId18" Type="http://schemas.openxmlformats.org/officeDocument/2006/relationships/hyperlink" Target="consultantplus://offline/ref=4FA7988FBD2EFDA548AC04F58881F547A4C83BF647171CF2DE50F547D5AA88BEC55BDD74FA7BAAECg5W3M" TargetMode="External"/><Relationship Id="rId26" Type="http://schemas.openxmlformats.org/officeDocument/2006/relationships/hyperlink" Target="consultantplus://offline/ref=4FA7988FBD2EFDA548AC1AF89EEDAA4FA1C766FE43101FA58B0FAE1A82A382E982148436BE77ABEC53F2CEgFW1M" TargetMode="External"/><Relationship Id="rId39" Type="http://schemas.openxmlformats.org/officeDocument/2006/relationships/hyperlink" Target="consultantplus://offline/ref=4FA7988FBD2EFDA548AC04F58881F547A4C83BF647171CF2DE50F547D5AA88BEC55BDD74FA7BAAECg5W3M" TargetMode="External"/><Relationship Id="rId21" Type="http://schemas.openxmlformats.org/officeDocument/2006/relationships/hyperlink" Target="consultantplus://offline/ref=4FA7988FBD2EFDA548AC04F58881F547A4C83EF140141CF2DE50F547D5AA88BEC55BDD77gFW2M" TargetMode="External"/><Relationship Id="rId34" Type="http://schemas.openxmlformats.org/officeDocument/2006/relationships/hyperlink" Target="consultantplus://offline/ref=4FA7988FBD2EFDA548AC1AF89EEDAA4FA1C766FE431B1EAC830FAE1A82A382E982148436BE77ABEC53F2CDgFW4M" TargetMode="External"/><Relationship Id="rId42" Type="http://schemas.openxmlformats.org/officeDocument/2006/relationships/hyperlink" Target="consultantplus://offline/ref=4FA7988FBD2EFDA548AC1AF89EEDAA4FA1C766FE431B11A7830FAE1A82A382E982148436BE77ABEC53F3CBgFW6M" TargetMode="External"/><Relationship Id="rId47" Type="http://schemas.openxmlformats.org/officeDocument/2006/relationships/hyperlink" Target="consultantplus://offline/ref=4FA7988FBD2EFDA548AC1AF89EEDAA4FA1C766FE431B1EAC830FAE1A82A382E982148436BE77ABEC53F2CDgFW1M" TargetMode="External"/><Relationship Id="rId50" Type="http://schemas.openxmlformats.org/officeDocument/2006/relationships/hyperlink" Target="consultantplus://offline/ref=4FA7988FBD2EFDA548AC04F58881F547A4CD38F146141CF2DE50F547D5AA88BEC55BDD74FA7AABEAg5W6M" TargetMode="External"/><Relationship Id="rId55" Type="http://schemas.openxmlformats.org/officeDocument/2006/relationships/hyperlink" Target="consultantplus://offline/ref=4FA7988FBD2EFDA548AC1AF89EEDAA4FA1C766FE421212A2840FAE1A82A382E982148436BE77ABEC53F2CEgFW3M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4FA7988FBD2EFDA548AC04F58881F547A7C43FF64B444BF08F05FBg4W2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FA7988FBD2EFDA548AC1AF89EEDAA4FA1C766FE411616AD800FAE1A82A382E982148436BE77ABEC53F2CFgFW2M" TargetMode="External"/><Relationship Id="rId20" Type="http://schemas.openxmlformats.org/officeDocument/2006/relationships/hyperlink" Target="consultantplus://offline/ref=4FA7988FBD2EFDA548AC04F58881F547A4C83FF046121CF2DE50F547D5AA88BEC55BDD74FA7AADE9g5WBM" TargetMode="External"/><Relationship Id="rId29" Type="http://schemas.openxmlformats.org/officeDocument/2006/relationships/hyperlink" Target="consultantplus://offline/ref=4FA7988FBD2EFDA548AC04F58881F547A4CD38F146141CF2DE50F547D5AA88BEC55BDD74FA7AABEDg5W3M" TargetMode="External"/><Relationship Id="rId41" Type="http://schemas.openxmlformats.org/officeDocument/2006/relationships/hyperlink" Target="consultantplus://offline/ref=4FA7988FBD2EFDA548AC04F58881F547ACCF31FB401941F8D609F945gDW2M" TargetMode="External"/><Relationship Id="rId54" Type="http://schemas.openxmlformats.org/officeDocument/2006/relationships/hyperlink" Target="consultantplus://offline/ref=4FA7988FBD2EFDA548AC1AF89EEDAA4FA1C766FE411113A7830FAE1A82A382E9g8W2M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A7988FBD2EFDA548AC1AF89EEDAA4FA1C766FE431B1EAC830FAE1A82A382E982148436BE77ABEC53F2CFgFWFM" TargetMode="External"/><Relationship Id="rId11" Type="http://schemas.openxmlformats.org/officeDocument/2006/relationships/hyperlink" Target="consultantplus://offline/ref=4FA7988FBD2EFDA548AC1AF89EEDAA4FA1C766FE431B16A1820FAE1A82A382E982148436BE77ABgEW9M" TargetMode="External"/><Relationship Id="rId24" Type="http://schemas.openxmlformats.org/officeDocument/2006/relationships/hyperlink" Target="consultantplus://offline/ref=4FA7988FBD2EFDA548AC1AF89EEDAA4FA1C766FE431B1EAC830FAE1A82A382E982148436BE77ABEC53F2CFgFWEM" TargetMode="External"/><Relationship Id="rId32" Type="http://schemas.openxmlformats.org/officeDocument/2006/relationships/hyperlink" Target="consultantplus://offline/ref=4FA7988FBD2EFDA548AC1AF89EEDAA4FA1C766FE431B1EAC830FAE1A82A382E982148436BE77ABEC53F2CEgFWFM" TargetMode="External"/><Relationship Id="rId37" Type="http://schemas.openxmlformats.org/officeDocument/2006/relationships/hyperlink" Target="consultantplus://offline/ref=4FA7988FBD2EFDA548AC04F58881F547A4C83FF045141CF2DE50F547D5AA88BEC55BDD74FA7AAAEFg5W3M" TargetMode="External"/><Relationship Id="rId40" Type="http://schemas.openxmlformats.org/officeDocument/2006/relationships/hyperlink" Target="consultantplus://offline/ref=4FA7988FBD2EFDA548AC04F58881F547ACCF31FB401941F8D609F945gDW2M" TargetMode="External"/><Relationship Id="rId45" Type="http://schemas.openxmlformats.org/officeDocument/2006/relationships/hyperlink" Target="consultantplus://offline/ref=4FA7988FBD2EFDA548AC04F58881F547A4C83BF647171CF2DE50F547D5AA88BEC55BDD74FA7BAAECg5W3M" TargetMode="External"/><Relationship Id="rId53" Type="http://schemas.openxmlformats.org/officeDocument/2006/relationships/hyperlink" Target="consultantplus://offline/ref=4FA7988FBD2EFDA548AC1AF89EEDAA4FA1C766FE41101EA1800FAE1A82A382E9g8W2M" TargetMode="External"/><Relationship Id="rId58" Type="http://schemas.openxmlformats.org/officeDocument/2006/relationships/hyperlink" Target="consultantplus://offline/ref=4FA7988FBD2EFDA548AC1AF89EEDAA4FA1C766FE411B1EA1850FAE1A82A382E9g8W2M" TargetMode="External"/><Relationship Id="rId5" Type="http://schemas.openxmlformats.org/officeDocument/2006/relationships/hyperlink" Target="consultantplus://offline/ref=4FA7988FBD2EFDA548AC1AF89EEDAA4FA1C766FE43111EA1800FAE1A82A382E982148436BE77ABEC53F2CEgFW5M" TargetMode="External"/><Relationship Id="rId15" Type="http://schemas.openxmlformats.org/officeDocument/2006/relationships/hyperlink" Target="consultantplus://offline/ref=4FA7988FBD2EFDA548AC04F58881F547A4C83FF743171CF2DE50F547D5AA88BEC55BDD74FAg7W2M" TargetMode="External"/><Relationship Id="rId23" Type="http://schemas.openxmlformats.org/officeDocument/2006/relationships/hyperlink" Target="consultantplus://offline/ref=4FA7988FBD2EFDA548AC04F58881F547A4CD38F146141CF2DE50F547D5AA88BEC55BDD74FA7AAAEBg5W3M" TargetMode="External"/><Relationship Id="rId28" Type="http://schemas.openxmlformats.org/officeDocument/2006/relationships/hyperlink" Target="consultantplus://offline/ref=4FA7988FBD2EFDA548AC1AF89EEDAA4FA1C766FE431B16A1820FAE1A82A382E982148436BE77ABgEW9M" TargetMode="External"/><Relationship Id="rId36" Type="http://schemas.openxmlformats.org/officeDocument/2006/relationships/hyperlink" Target="consultantplus://offline/ref=4FA7988FBD2EFDA548AC1AF89EEDAA4FA1C766FE431B1EAC830FAE1A82A382E982148436BE77ABEC53F2CDgFW3M" TargetMode="External"/><Relationship Id="rId49" Type="http://schemas.openxmlformats.org/officeDocument/2006/relationships/hyperlink" Target="consultantplus://offline/ref=4FA7988FBD2EFDA548AC1AF89EEDAA4FA1C766FE431B1EAC830FAE1A82A382E982148436BE77ABEC53F2CDgFWEM" TargetMode="External"/><Relationship Id="rId57" Type="http://schemas.openxmlformats.org/officeDocument/2006/relationships/hyperlink" Target="consultantplus://offline/ref=4FA7988FBD2EFDA548AC1AF89EEDAA4FA1C766FE411414AD800FAE1A82A382E982148436BE77ABEC53F2CFgFW0M" TargetMode="External"/><Relationship Id="rId61" Type="http://schemas.openxmlformats.org/officeDocument/2006/relationships/hyperlink" Target="consultantplus://offline/ref=4FA7988FBD2EFDA548AC1AF89EEDAA4FA1C766FE421A1FAC820FAE1A82A382E982148436BE77ABEC53F2CEgFW5M" TargetMode="External"/><Relationship Id="rId10" Type="http://schemas.openxmlformats.org/officeDocument/2006/relationships/hyperlink" Target="consultantplus://offline/ref=4FA7988FBD2EFDA548AC04F58881F547A4CD38F146141CF2DE50F547D5AA88BEC55BDD74FA7AAAEDg5W6M" TargetMode="External"/><Relationship Id="rId19" Type="http://schemas.openxmlformats.org/officeDocument/2006/relationships/hyperlink" Target="consultantplus://offline/ref=4FA7988FBD2EFDA548AC04F58881F547ACCF31FB401941F8D609F945gDW2M" TargetMode="External"/><Relationship Id="rId31" Type="http://schemas.openxmlformats.org/officeDocument/2006/relationships/hyperlink" Target="consultantplus://offline/ref=4FA7988FBD2EFDA548AC1AF89EEDAA4FA1C766FE431B1EAC830FAE1A82A382E982148436BE77ABEC53F2CEgFW1M" TargetMode="External"/><Relationship Id="rId44" Type="http://schemas.openxmlformats.org/officeDocument/2006/relationships/hyperlink" Target="consultantplus://offline/ref=4FA7988FBD2EFDA548AC04F58881F547ACCF31FB401941F8D609F945gDW2M" TargetMode="External"/><Relationship Id="rId52" Type="http://schemas.openxmlformats.org/officeDocument/2006/relationships/hyperlink" Target="consultantplus://offline/ref=4FA7988FBD2EFDA548AC1AF89EEDAA4FA1C766FE411214A68A0FAE1A82A382E9g8W2M" TargetMode="External"/><Relationship Id="rId60" Type="http://schemas.openxmlformats.org/officeDocument/2006/relationships/hyperlink" Target="consultantplus://offline/ref=4FA7988FBD2EFDA548AC1AF89EEDAA4FA1C766FE421412A68B0FAE1A82A382E9g8W2M" TargetMode="External"/><Relationship Id="rId4" Type="http://schemas.openxmlformats.org/officeDocument/2006/relationships/hyperlink" Target="consultantplus://offline/ref=4FA7988FBD2EFDA548AC1AF89EEDAA4FA1C766FE43101FA58B0FAE1A82A382E982148436BE77ABEC53F2CEgFW1M" TargetMode="External"/><Relationship Id="rId9" Type="http://schemas.openxmlformats.org/officeDocument/2006/relationships/hyperlink" Target="consultantplus://offline/ref=4FA7988FBD2EFDA548AC04F58881F547A4C83EF1481B1CF2DE50F547D5AA88BEC55BDD77FD7DgAW3M" TargetMode="External"/><Relationship Id="rId14" Type="http://schemas.openxmlformats.org/officeDocument/2006/relationships/hyperlink" Target="consultantplus://offline/ref=4FA7988FBD2EFDA548AC04F58881F547A4C83FF045141CF2DE50F547D5AA88BEC55BDD74FA7AAAEFg5W3M" TargetMode="External"/><Relationship Id="rId22" Type="http://schemas.openxmlformats.org/officeDocument/2006/relationships/hyperlink" Target="consultantplus://offline/ref=4FA7988FBD2EFDA548AC1AF89EEDAA4FA1C766FE43111EA1800FAE1A82A382E982148436BE77ABEC53F2CEgFW5M" TargetMode="External"/><Relationship Id="rId27" Type="http://schemas.openxmlformats.org/officeDocument/2006/relationships/hyperlink" Target="consultantplus://offline/ref=4FA7988FBD2EFDA548AC04F58881F547A4C83EF1481B1CF2DE50F547D5AA88BEC55BDD74FA78ABE4g5W2M" TargetMode="External"/><Relationship Id="rId30" Type="http://schemas.openxmlformats.org/officeDocument/2006/relationships/hyperlink" Target="consultantplus://offline/ref=4FA7988FBD2EFDA548AC04F58881F547A7C43FF64B444BF08F05FBg4W2M" TargetMode="External"/><Relationship Id="rId35" Type="http://schemas.openxmlformats.org/officeDocument/2006/relationships/hyperlink" Target="consultantplus://offline/ref=4FA7988FBD2EFDA548AC04F58881F547A4CD38F146141CF2DE50F547D5AA88BEC55BDD74FA7AABEDg5W3M" TargetMode="External"/><Relationship Id="rId43" Type="http://schemas.openxmlformats.org/officeDocument/2006/relationships/hyperlink" Target="consultantplus://offline/ref=4FA7988FBD2EFDA548AC04F58881F547A4C83BF647171CF2DE50F547D5AA88BEC55BDD74FA7BAAECg5W3M" TargetMode="External"/><Relationship Id="rId48" Type="http://schemas.openxmlformats.org/officeDocument/2006/relationships/hyperlink" Target="consultantplus://offline/ref=4FA7988FBD2EFDA548AC1AF89EEDAA4FA1C766FE431B1EAC830FAE1A82A382E982148436BE77ABEC53F2CDgFWFM" TargetMode="External"/><Relationship Id="rId56" Type="http://schemas.openxmlformats.org/officeDocument/2006/relationships/hyperlink" Target="consultantplus://offline/ref=4FA7988FBD2EFDA548AC1AF89EEDAA4FA1C766FE411712AD840FAE1A82A382E9g8W2M" TargetMode="External"/><Relationship Id="rId64" Type="http://schemas.microsoft.com/office/2007/relationships/stylesWithEffects" Target="stylesWithEffects.xml"/><Relationship Id="rId8" Type="http://schemas.openxmlformats.org/officeDocument/2006/relationships/hyperlink" Target="consultantplus://offline/ref=4FA7988FBD2EFDA548AC04F58881F547A4C83FF046121CF2DE50F547D5AA88BEC55BDD74FA7AAAEEg5W4M" TargetMode="External"/><Relationship Id="rId51" Type="http://schemas.openxmlformats.org/officeDocument/2006/relationships/hyperlink" Target="consultantplus://offline/ref=4FA7988FBD2EFDA548AC1AF89EEDAA4FA1C766FE421B17A4820FAE1A82A382E9g8W2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FA7988FBD2EFDA548AC1AF89EEDAA4FA1C766FE44121EA18A0FAE1A82A382E982148436BE77A9EEg5W6M" TargetMode="External"/><Relationship Id="rId17" Type="http://schemas.openxmlformats.org/officeDocument/2006/relationships/hyperlink" Target="consultantplus://offline/ref=4FA7988FBD2EFDA548AC1AF89EEDAA4FA1C766FE441217A7860FAE1A82A382E982148436BE77ABEC53F2CEgFWEM" TargetMode="External"/><Relationship Id="rId25" Type="http://schemas.openxmlformats.org/officeDocument/2006/relationships/hyperlink" Target="consultantplus://offline/ref=4FA7988FBD2EFDA548AC1AF89EEDAA4FA1C766FE431B1EAC830FAE1A82A382E982148436BE77ABEC53F2CEgFW6M" TargetMode="External"/><Relationship Id="rId33" Type="http://schemas.openxmlformats.org/officeDocument/2006/relationships/hyperlink" Target="consultantplus://offline/ref=4FA7988FBD2EFDA548AC1AF89EEDAA4FA1C766FE431B1EAC830FAE1A82A382E982148436BE77ABEC53F2CDgFW5M" TargetMode="External"/><Relationship Id="rId38" Type="http://schemas.openxmlformats.org/officeDocument/2006/relationships/hyperlink" Target="consultantplus://offline/ref=4FA7988FBD2EFDA548AC04F58881F547A4C83FF743171CF2DE50F547D5AA88BEC55BDD74FAg7WDM" TargetMode="External"/><Relationship Id="rId46" Type="http://schemas.openxmlformats.org/officeDocument/2006/relationships/hyperlink" Target="consultantplus://offline/ref=4FA7988FBD2EFDA548AC04F58881F547ACCF31FB401941F8D609F945gDW2M" TargetMode="External"/><Relationship Id="rId59" Type="http://schemas.openxmlformats.org/officeDocument/2006/relationships/hyperlink" Target="consultantplus://offline/ref=4FA7988FBD2EFDA548AC1AF89EEDAA4FA1C766FE421411A4840FAE1A82A382E9g8W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6659</Words>
  <Characters>37959</Characters>
  <Application>Microsoft Office Word</Application>
  <DocSecurity>4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Елена Константиновна</dc:creator>
  <cp:lastModifiedBy>Daria</cp:lastModifiedBy>
  <cp:revision>2</cp:revision>
  <dcterms:created xsi:type="dcterms:W3CDTF">2013-12-25T08:32:00Z</dcterms:created>
  <dcterms:modified xsi:type="dcterms:W3CDTF">2013-12-25T08:32:00Z</dcterms:modified>
</cp:coreProperties>
</file>