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09"/>
        <w:gridCol w:w="1079"/>
        <w:gridCol w:w="465"/>
        <w:gridCol w:w="465"/>
        <w:gridCol w:w="465"/>
        <w:gridCol w:w="1106"/>
        <w:gridCol w:w="2392"/>
      </w:tblGrid>
      <w:tr w:rsidR="00BF71BA" w:rsidTr="00BF71BA">
        <w:tblPrEx>
          <w:tblCellMar>
            <w:top w:w="0" w:type="dxa"/>
            <w:bottom w:w="0" w:type="dxa"/>
          </w:tblCellMar>
        </w:tblPrEx>
        <w:trPr>
          <w:trHeight w:val="956"/>
        </w:trPr>
        <w:tc>
          <w:tcPr>
            <w:tcW w:w="978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закону</w:t>
            </w:r>
          </w:p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''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''</w:t>
            </w:r>
          </w:p>
        </w:tc>
      </w:tr>
      <w:tr w:rsidR="00BF71BA" w:rsidTr="00BF71BA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978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ассигнований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целевым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статьям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2016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</w:p>
        </w:tc>
      </w:tr>
      <w:tr w:rsidR="00BF71BA" w:rsidTr="00BF71B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8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387D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5539"/>
        <w:gridCol w:w="1377"/>
        <w:gridCol w:w="465"/>
        <w:gridCol w:w="465"/>
        <w:gridCol w:w="465"/>
        <w:gridCol w:w="146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5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иммунопрофилактику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эпидемиоло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злокачественными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лимфоидной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гипофизарным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трансплантации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01 1 00 23630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злокачественными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лимфоидн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гипофизарным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трансплантации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01 1 00 51610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вызываемого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компонентов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01 2 00 23650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антивирусных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антибактериальных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противотуберкулезных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возбудителя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микробактерии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возбудителя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01 2 00 51740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01 2 00 51740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01 2 00 51740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01 2 00 51740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01 2 00 54020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01 2 00 54020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01 2 00 54020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01 2 00 54020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туберкулёза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туберкулёзом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смесями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01 3 00 22110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01 3 00 23660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01 6 00 23670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01 6 00 51360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01 6 00 51360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01 6 00 51360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01 6 00 51360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лекарс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01 7 00 22100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01 7 00 54600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01 8 00 00000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01 9 00 00000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01 9 00 01500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01 9 00 59800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01 9 00 77010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01 9 00 77010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01 9 00 77010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01 9 00 77010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00 23860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00 23860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00 23860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00 23860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02 1 01 72150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02 1 01 72150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02 1 01 72150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02 1 01 72150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02 1 02 23530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2.3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02 1 03 23500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2011 - 2020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портом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02 1 03 50970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02 1 03 70570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03 R0970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02 1 04 23530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02 1 04 50880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02 1 04 50880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02 1 04 50880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02 1 04 50880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R0880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R0880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R0880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04 R0880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02 2 02 23550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02 2 02 23550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02 2 02 23550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02 2 02 23550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вовлечения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независимо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статуса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02 2 03 23550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02 2 03 23550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02 2 03 23550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02 2 03 23550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каникулярного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02 2 05 23550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целостной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инициативной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02 2 06 23550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гибкости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специальностям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02 3 01 38930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02 3 01 38930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02 3 01 38930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02 3 01 38930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возможнос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2011 - 2020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02 3 03 50270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03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оказавшейся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олодежного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продвижение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волонтерскому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движению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молодежью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Предупреждение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экстремистских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межрелигиозной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толерантности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02 4 09 00000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02 4 09 99990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02 4 09 99990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02 4 09 99990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02 4 09 99990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02 5 01 00000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допризывной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02 5 02 00000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Координация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объединений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допризывной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02 5 03 00000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увековечению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памяти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Отечества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поисковой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02 5 04 00000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остались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розыску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2014 - 2020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02 5 04 81990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02 5 04 81990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02 5 04 81990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02 5 04 81990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адаптация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попече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жизнеустройства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02 6 01 52600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02 6 01 52600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02 6 01 52600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02 6 01 52600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удочерении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02 6 01 61120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02 6 01 61120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02 6 01 61120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02 6 01 61120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02 6 03 00000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02 6 03 22030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02 6 03 50820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02 6 03 50820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02 6 03 50820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02 6 03 50820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02 6 03 70600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02 6 03 70600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02 6 03 70600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02 6 03 70600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R0820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R0820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R0820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03 R0820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разработок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02 7 01 01380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02 7 01 23820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вышедшим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02 7 02 70630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02 7 02 72120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02 7 03 00000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02 7 03 23540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02 7 03 23540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02 7 03 23540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02 7 03 23540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02 7 03 59900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02 7 04 00000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02 7 04 61110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02 7 04 61110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02 7 04 61110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02 7 04 61110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равный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ценностям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творческого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каждой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художественного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престижности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03 1 02 51480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пространства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преодоление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отставания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диспропорций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льтурном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Петербурга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подключение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оцифровки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03 1 03 51460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просроченной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подрядчиками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03 1 03 71320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03 1 03 71320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03 1 03 71320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03 1 03 71320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Боровичи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03 1 03 72220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Продвижение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имиджа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межрегиональных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03 1 04 23590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03 1 05 01430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ыявленных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03 2 01 23580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03 2 01 23580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03 2 01 23580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03 2 01 23580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03 2 02 23580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03 2 02 23580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03 2 02 23580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03 2 02 23580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03 2 03 01400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03 2 03 01400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03 2 03 01400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03 2 03 01400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помещений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03 3 01 41010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03 3 03 23590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03 3 04 01400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03 3 05 01400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международном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рынках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конкурентоспособного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03 5 01 00000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9.1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03 5 01 59500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ортопедическими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04 1 01 22010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04 1 01 22010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04 1 01 22010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04 1 01 22010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04 1 01 61030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04 1 01 70270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льготных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путевками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04 1 02 22170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04 1 02 22170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04 1 02 22170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04 1 02 22170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подвергшихся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04 1 02 51370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04 1 02 52800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автострахование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04 1 02 61140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04 1 02 70680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04 1 02 70680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04 1 02 70680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04 1 02 70680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04 1 02 81200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интеграции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Преодоление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разобщенности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позитивного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проблемам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проблеме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05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Мониторинг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независимой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предоставляющих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алидам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спектра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пенсионерам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психоневрологического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Подгорное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R1110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R1110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R1110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03 R1110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пенсионерам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04 3 04 52090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ьготы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04 4 01 70690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детьми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нетрудоспособности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материнством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уволенным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04 4 02 53800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04 4 02 61100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R0840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R0840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R0840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R0840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неблагополучия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беспризорности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безнадзорности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04 4 03 59400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04 4 03 59400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04 4 03 59400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04 4 03 59400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04 4 05 23520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04 4 05 54570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04 4 05 54570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04 4 05 54570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04 4 05 54570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04 6 01 01650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04 6 03 00000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04 6 03 61010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04 6 03 61010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04 6 03 61010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04 6 03 61010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04 6 04 00000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04 6 04 01000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05 1 01 81980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05 1 01 81980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05 1 01 81980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05 1 01 81980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стадиона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05 1 02 41110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05 2 01 22160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05 2 01 22160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05 2 01 22160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05 2 01 22160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поэтапному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05 2 01 51270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05 2 01 61130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R0810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поэтапному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05 3 01 01230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05 3 01 01670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мультимедийным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0530122060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Газификация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газораспределительной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газораспределительной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06 2 03 72270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06 2 03 72270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06 2 03 72270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06 2 03 72270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Энергосбережение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низациям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06 3 06 00000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06 3 06 81520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06 4 02 01870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работодателям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финансируемых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квотировании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07 1 01 81070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07 1 01 81070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07 1 01 81070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07 1 01 81070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структурного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несоответствия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спроса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предложения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рабочую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силу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конкурентоспособности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иностранными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безработных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1032-1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07 1 04 52900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безработицы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испытывающих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поиске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трудоустройству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оснащенные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рабочие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07 3 02 81100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07 3 02 81100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07 3 02 81100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07 3 02 81100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трудоустройству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ятостью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07 3 03 81150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07 4 01 01660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R0270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08 1 01 28030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килограмм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отгруженного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08 1 01 54460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несушек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кроссов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пчелома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пчелосемей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пчелопакетов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пчелиных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08 1 01 81720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молодняка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молодняка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килограмм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отгруженного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пород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R0500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поголовья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01 R4460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растени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еводческой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08 2 01 28040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08 2 01 28040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08 2 01 28040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08 2 01 28040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плодовыми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ягодными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08 2 01 54500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кормопроизводства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08 2 01 81730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плодовыми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ягодными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льняного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урожая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посадок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R0410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R4500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тавок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растениеводческой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агропродовольственный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рынок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дпродажной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08 2 02 28070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08 2 02 28070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08 2 02 28070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08 2 02 28070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восстановления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почв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начинающих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краткосрочным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взятым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08 3 01 50550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начинающим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R0550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мелиоративного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мелиорируемые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мелиоративные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орошению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оросительных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08 4 02 81550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08 4 05 50760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08 4 05 50760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08 4 05 50760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08 4 05 50760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мелиорируемых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землях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08 4 05 81460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08 4 05 81460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08 4 05 81460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08 4 05 81460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08 5 01 00000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08 5 01 22150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08 5 01 22150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08 5 01 22150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08 5 01 22150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08 5 02 00000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08 5 03 00000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08 5 03 99990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08 6 01 01840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08 7 01 61070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08 7 02 00000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08 7 03 00000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08 7 03 22050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Удовлетворение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потребностей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благоустроенном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09 0 01 50183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09 0 01 50183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09 0 01 50183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09 0 01 50183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R0183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R0183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R0183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01 R0183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обустройства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09 0 02 50184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09 0 02 50184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09 0 02 50184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09 0 02 50184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R0184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R0184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R0184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02 R0184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09 0 04 50185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09 0 04 50185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09 0 04 50185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09 0 04 50185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R0185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R0185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R0185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04 R0185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трудоспособных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09 0 05 70670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09 0 05 70670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09 0 05 70670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09 0 05 70670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ввода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10 1 01 72500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10 1 01 72500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10 1 01 72500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10 1 01 72500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Ипотечное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ипотечных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10 2 02 81920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класса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класса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предоставляющих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займы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ипотечные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10 3 01 22140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10 3 01 22140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10 3 01 22140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10 3 01 22140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10 3 01 50201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10 3 01 50201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10 3 01 50201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10 3 01 50201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01 R0202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11 0 01 23090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пропускной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11 0 01 54202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11 0 02 23060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11 0 02 23060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11 0 02 23060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11 0 02 23060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межмуниципаль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изыскательские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11 0 03 23100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11 0 03 23100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11 0 03 23100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11 0 03 23100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1+111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Ересино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мясохладобойни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0+000 -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0+676)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Крестецком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11 0 03 54201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11 0 03 54201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11 0 03 54201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11 0 03 54201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1+111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Ересино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мясохладобойни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0+000 -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0+676)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Крестецком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R0189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R0189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R0189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03 R0189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соединения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круглогодичной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сетью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покрытием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изыск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ательские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11 0 04 23120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11 0 04 23120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11 0 04 23120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11 0 04 23120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пропускной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11 0 04 54202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ближайшим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пропускной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11 0 05 54203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11 0 05 54203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11 0 05 54203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11 0 05 54203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11 0 05 71540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ближайшим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R0186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R0186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R0186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05 R0186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осуществляющего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межмуниципальными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дорогами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11 0 06 01710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12 3 01 51310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R1310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R1310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R1310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01 R1310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Предупреждение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12 3 02 51290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12 3 02 51290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12 3 02 51290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12 3 02 51290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очагов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вредных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организмов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12 3 03 51290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12 3 03 51290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12 3 03 51290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12 3 03 51290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планирование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12 3 04 51290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генетико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селекционного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12 3 05 51290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12 3 05 51290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12 3 05 51290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12 3 05 51290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лесовосстановления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лесоразведения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12 3 06 51290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12 3 06 51290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12 3 06 51290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12 3 06 51290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лесами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12 3 07 51290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12 3 07 51290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12 3 07 51290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12 3 07 51290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12 3 08 00000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12 3 08 01720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12 3 08 51290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соответствующих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действующему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природоохранному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законодательству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просроченной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подрядчиками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13 1 01 71350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13 1 01 71350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13 1 01 71350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13 1 01 71350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воздейст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потребления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13 1 02 70370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13 1 02 70370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13 1 02 70370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13 1 02 70370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оформления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редактирования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тиражирования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природоохранной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выпуска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радиопередач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посвященных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охраняемые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биоразнообразия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охраняемыми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13 2 01 01110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13 2 01 01110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13 2 01 01110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13 2 01 01110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13 2 02 59200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13 2 02 59200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13 2 02 59200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13 2 02 59200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угодий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берегоукрепительных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сооружений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предложений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затопления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подтопления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экологическая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утративших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самоочищению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засорения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загрязнения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полностью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14 0 06 00000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14 0 06 51280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14 0 06 51280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14 0 06 51280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14 0 06 51280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действующих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водоемов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мелиоративных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прудах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15 1 01 53960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15 1 01 53960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15 1 01 53960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15 1 01 53960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обводненных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карьерах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рыбопосадочного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15 1 01 81030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R3960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R3960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R3960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01 R3960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противоэпизоотической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обстановки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предупреждени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рыболовства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Увеличение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добычи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вылова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рыболовства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обновления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рыбопромысловых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используемых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орудий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искусственному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воспроизводству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ологических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рыбоохранных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15 2 01 59100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15 2 01 59100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15 2 01 59100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15 2 01 59100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зарыбление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15 2 01 81040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15 2 01 81040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15 2 01 81040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15 2 01 81040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азных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домашних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зоопарковых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пушных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зверей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птиц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пчел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противоэпизоотических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16 1 01 23720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уничтожения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транспортировки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вакцина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чипирования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уничтожения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эвтаназии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16 1 01 70720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Освоение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ускоренных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диагностики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инвазионных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сокращения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времени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диагностики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купирование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очагов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болезней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заноса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АЧС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борьбе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лейкозом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Недопущение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инфицирования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вирусом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лейкоза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заболеванию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лейкозом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16 4 02 01450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16 4 02 01450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16 4 02 01450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16 4 02 01450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16 4 02 61070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Внедрение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жбой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барьеров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принципу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МФЦ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17 3 02 01480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17 3 02 01480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17 3 02 01480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17 3 02 01480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барьеров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мониторинга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барьеров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регулирующего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барьеров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оптимизация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17 5 00 00000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стороны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17 5 02 00000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17 5 02 23310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17 5 02 23310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17 5 02 23310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17 5 02 23310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17 7 00 00000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нетерпимост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коррупционному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поведению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17 7 01 00000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антикоррупционного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мировоззрения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правосоз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соответствующей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17 7 03 00000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антикоррупционного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мониторинга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17 7 07 00000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18 1 01 23910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18 1 05 00000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18 1 05 01000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Выравнивание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18 2 01 71200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18 2 01 71200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18 2 01 71200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18 2 01 71200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обеспеченност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18 2 03 70100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18 2 03 70100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18 2 03 70100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18 2 03 70100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комиссариаты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18 2 04 51180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18 2 04 51180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вневойсковая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18 2 04 51180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18 2 04 51180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Волотовского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Маревского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Парфинского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Поддорского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18 2 04 70110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18 2 04 70650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18 2 04 72300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18 2 04 72300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18 2 04 72300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18 2 04 72300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финансами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выборных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18 3 05 71340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18 3 05 71340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18 3 05 71340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18 3 05 71340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Завершение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разграничению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землю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подлежащие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тнесению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которые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разграничена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распоряжению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находящимися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которые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разграничена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связанными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19 0 06 00000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19 0 06 99990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Актуализация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19 0 07 00000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19 0 07 99990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закупок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19 0 08 00000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19 0 08 99990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закупок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19 0 09 00000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19 0 09 01860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19 0 09 01860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19 0 09 01860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19 0 09 01860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20 1 01 01820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20 1 01 01820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20 1 01 01820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20 1 01 01820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20 3 05 00000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20 3 05 61070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ремеслен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20 4 01 50647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ярмарках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20 4 01 81950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20 4 01 81950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20 4 01 81950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20 4 01 81950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ремесленных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R0647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20 4 02 23770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20 4 02 23770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20 4 02 23770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20 4 02 23770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сопутствующих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акционерного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20 4 02 23980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субьектов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20 4 02 50646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20 4 02 50646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20 4 02 50646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20 4 02 50646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субьектов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R0646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R0646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R0646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R0646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микрофинансовым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кспортно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20 4 03 50645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кластерного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20 4 03 81840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20 4 03 82010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микрофинансовым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принимательства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R0645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21 1 01 01700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21 1 01 23970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21 1 01 23970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21 1 01 23970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21 1 01 23970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21 1 01 81190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навигационной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гибкости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21 3 01 23460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21 3 02 01270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обязательств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21 3 03 22050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21 3 04 61070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тиводействия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проблем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злоупотреблением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наркотиками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психоактивными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веществами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предупр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правонарушений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пагандистскому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сопровождению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антитеррористических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оснащенности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привлекаемых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террористических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минимизации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последствий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22 3 03 00000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отбывшим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освободившимся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освобождением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умений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необходимых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положительной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Градостроительная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планирования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архитектуры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23 0 03 00000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23 0 03 01850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гибкости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23 0 04 01270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23 0 04 22050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23 0 04 23490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Усиление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подразделений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пультами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приема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сигнала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24 1 01 23010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24 1 01 23010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24 1 01 23010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24 1 01 23010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24 2 01 23030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24 2 01 23030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24 2 01 23030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24 2 01 23030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рисков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смягчение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индивидуальной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Развертывание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"112"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2013 - 2017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24 4 01 50980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24 4 01 50980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24 4 01 50980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24 4 01 50980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R0980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R0980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R0980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R0980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персонала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"112"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"112"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24 6 01 01690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24 6 01 23730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24 6 01 23730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24 6 01 23730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24 6 01 23730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24 6 02 00000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24 6 02 01290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24 6 02 01290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24 6 02 01290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24 6 02 01290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механизма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ациям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25 2 01 72390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25 2 01 72390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25 2 01 72390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25 2 01 72390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системами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25 2 02 00000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итуационного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25 2 03 23700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25 2 03 23700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25 2 03 23700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25 2 03 23700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совершаемых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телекомму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никационных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целостности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достоверности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конфиденциальности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используемой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пространства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доверия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подписи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25 2 05 00000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25 2 05 9999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25 2 05 99990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2014-2020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25 6 00 00000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25 6 01 00000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25 6 01 01470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2016-2018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интеграции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26 0 04 00000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26 0 04 50860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26 0 04 50860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Миграционная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26 0 04 50860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26 0 04 50860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Миграционная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26 0 04 99990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пешеходов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27 0 01 23060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27 0 01 23060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27 0 01 23060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27 0 01 23060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Гармонизация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2015-2018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гармонизации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28 0 01 81970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28 0 01 81970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28 0 01 81970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28 0 01 81970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29 1 00 00000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реформы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29 1 01 00000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нормативной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сопровождение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29 1 02 00000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29 1 02 99990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выборных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29 1 03 00000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29 1 03 72280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29 1 03 72280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29 1 03 72280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29 1 03 72280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ействующего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29 1 04 00000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29 1 04 72090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29 1 04 72090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29 1 04 72090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29 1 04 72090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29 2 00 00000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рекламная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социологич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29 2 01 00000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29 2 01 99990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29 2 03 00000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29 2 03 99990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ориентирнованных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29 2 04 00000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полезные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04 R0850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04 R0850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04 R0850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 04 R0850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2016-2017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29 3 00 00000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29 3 01 00000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29 3 01 01490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прогнозируемой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потребностью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2016 - 2025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односменного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1 - 11 (12)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классах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перевод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износом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50,0 %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30 0 01 00000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30 0 01 55200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30 0 01 55200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30 0 01 55200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30 0 01 55200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 01 R5200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91 9 00 23830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91 9 00 23830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91 9 00 23830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91 9 00 23830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91 9 00 59300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91 9 00 59700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малоэтажного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92 7 00 09502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92 7 00 09502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92 7 00 09502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92 7 00 09502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малоэтажного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92 7 00 09602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92 7 00 09602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92 7 00 09602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92 7 00 09602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92 7 00 51200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714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1941 - 1945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92 7 00 51350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92 8 00 41020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92 8 00 41020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92 8 00 41020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92 8 00 41020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92 9 00 23780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92 9 00 23940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дознания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предварительного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прокурора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92 9 00 26040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92 9 00 51420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вынужденно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покинувших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92 9 00 52240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переписи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92 9 00 53910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92 9 00 99980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92 9 00 99980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92 9 00 99980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92 9 00 99980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93 9 00 01100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93 9 00 01460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93 9 00 01510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93 9 00 01630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93 9 00 01800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Дума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Счетная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палата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95 1 00 01000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Аудиторы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Избирательная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комиссия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96 0 00 00000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96 2 00 01000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96 9 00 01000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96 9 00 26050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96 9 00 26050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96 9 00 26050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96 9 00 26050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5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3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87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450,3</w:t>
            </w:r>
          </w:p>
        </w:tc>
      </w:tr>
    </w:tbl>
    <w:p w:rsidR="00387DCB" w:rsidRDefault="00387DCB"/>
    <w:sectPr w:rsidR="00387DCB">
      <w:headerReference w:type="default" r:id="rId6"/>
      <w:pgSz w:w="11950" w:h="16901"/>
      <w:pgMar w:top="567" w:right="567" w:bottom="567" w:left="153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DCB" w:rsidRDefault="00387DCB">
      <w:pPr>
        <w:spacing w:after="0" w:line="240" w:lineRule="auto"/>
      </w:pPr>
      <w:r>
        <w:separator/>
      </w:r>
    </w:p>
  </w:endnote>
  <w:endnote w:type="continuationSeparator" w:id="0">
    <w:p w:rsidR="00387DCB" w:rsidRDefault="0038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DCB" w:rsidRDefault="00387DCB">
      <w:pPr>
        <w:spacing w:after="0" w:line="240" w:lineRule="auto"/>
      </w:pPr>
      <w:r>
        <w:separator/>
      </w:r>
    </w:p>
  </w:footnote>
  <w:footnote w:type="continuationSeparator" w:id="0">
    <w:p w:rsidR="00387DCB" w:rsidRDefault="0038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87DC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 w:rsidR="00BF71BA"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BF71BA">
      <w:rPr>
        <w:rFonts w:ascii="Times New Roman" w:hAnsi="Times New Roman" w:cs="Times New Roman"/>
        <w:noProof/>
        <w:color w:val="000000"/>
        <w:sz w:val="20"/>
        <w:szCs w:val="20"/>
      </w:rPr>
      <w:t>102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1BA"/>
    <w:rsid w:val="00387DCB"/>
    <w:rsid w:val="00BF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102</Pages>
  <Words>49427</Words>
  <Characters>281736</Characters>
  <Application>Microsoft Office Word</Application>
  <DocSecurity>0</DocSecurity>
  <Lines>2347</Lines>
  <Paragraphs>661</Paragraphs>
  <ScaleCrop>false</ScaleCrop>
  <Company/>
  <LinksUpToDate>false</LinksUpToDate>
  <CharactersWithSpaces>330502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van82i 06.05.2014 10:58:16; РР·РјРµРЅРµРЅ: van82i 13.02.2016 11:36:01</dc:subject>
  <dc:creator>Keysystems.DWH.ReportDesigner</dc:creator>
  <cp:lastModifiedBy>Осипов Евгений Игоревич</cp:lastModifiedBy>
  <cp:revision>2</cp:revision>
  <dcterms:created xsi:type="dcterms:W3CDTF">2016-08-09T12:01:00Z</dcterms:created>
  <dcterms:modified xsi:type="dcterms:W3CDTF">2016-08-09T12:01:00Z</dcterms:modified>
</cp:coreProperties>
</file>