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57"/>
        <w:gridCol w:w="1079"/>
        <w:gridCol w:w="465"/>
        <w:gridCol w:w="465"/>
        <w:gridCol w:w="465"/>
        <w:gridCol w:w="1106"/>
        <w:gridCol w:w="2344"/>
      </w:tblGrid>
      <w:tr w:rsidR="00C47BA6" w:rsidTr="00C47BA6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78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</w:t>
            </w:r>
          </w:p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закону</w:t>
            </w:r>
          </w:p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''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''</w:t>
            </w:r>
          </w:p>
        </w:tc>
      </w:tr>
      <w:tr w:rsidR="00C47BA6" w:rsidTr="00C47BA6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978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ассигнований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разделам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подразделам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целевым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статьям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классификации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2016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</w:p>
        </w:tc>
      </w:tr>
      <w:tr w:rsidR="00C47BA6" w:rsidTr="00C47BA6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8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670B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5656"/>
        <w:gridCol w:w="465"/>
        <w:gridCol w:w="465"/>
        <w:gridCol w:w="1345"/>
        <w:gridCol w:w="465"/>
        <w:gridCol w:w="137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99"/>
          <w:tblHeader/>
        </w:trPr>
        <w:tc>
          <w:tcPr>
            <w:tcW w:w="5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нетерпимости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коррупционному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злоупотреблением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минимизации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25 2 03 23700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25 2 03 23700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91 9 00 23830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91 9 00 23830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92 9 00 23940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92 9 00 23940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92 9 00 23940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Судебная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квалифицированной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дознания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предварительного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следствия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прокурора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Аудиторы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96 9 00 26050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96 9 00 26050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барьеров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оптимизация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принципу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МФЦ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17 3 02 01480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17 3 02 01480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барьеров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оптимизация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оптимизация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барьеров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оптимизация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нетерпимости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коррупционному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антикоррупционного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мировоззрения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правосознания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антикоррупционного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17 7 07 00000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Батецкого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Волотовского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Маревского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Парфинского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20 1 01 01820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20 1 01 01820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сопутствующих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0 4 02 23980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архитектуры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25 2 01 72390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25 2 01 72390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28 0 01 81970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28 0 01 81970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действующего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29 1 04 72090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29 1 04 72090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рекламная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социологическая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92 8 00 41020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92 8 00 41020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вынужденно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покинувших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92 9 00 52240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92 9 00 52240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92 9 00 52240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переписи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92 9 00 99980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92 9 00 99980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вневойсковая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комиссариаты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18 2 04 51180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18 2 04 51180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смягчение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24 3 00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смягчение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Развертывание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24 6 01 23730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24 6 01 23730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Усиление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сигнала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24 1 01 23010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24 1 01 23010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Миграционная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интеграции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26 0 04 50860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26 0 04 50860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правоохранительной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24 2 01 23030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24 2 01 23030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Развертывание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24 4 01 50980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24 4 01 50980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R0980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R0980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работодателям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финансируемых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квотировании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07 1 01 81070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07 1 01 81070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конкурентоспособности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безработицы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незанятых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незанятых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07 3 02 81100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07 3 02 81100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занятостью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незанятыми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отпуска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килограмм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отгруж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поголовья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несушек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кроссов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пчеломаток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пчелосемей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пчелопакетов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пчелиных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молодняка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молодняка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поголовья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килограмм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отгруженного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коровьего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птицы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поголовья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пород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поголовья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08 2 01 28040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08 2 01 28040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плодовыми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ягодными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насаждениями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кормопроизводства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ягодными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насаждениями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льняного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урожая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посадок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агропродовольственный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рынок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предпродажной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08 2 02 28070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08 2 02 28070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начинающих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взятым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начинающим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мелиорируемые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оросительных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выбытия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08 4 05 50760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08 4 05 50760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мелиорируемых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08 4 05 81460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08 4 05 81460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зяйства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08 5 01 22150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08 5 01 22150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09 0 04 50185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09 0 04 50185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R0185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R0185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водоемов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прудах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15 1 01 53960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15 1 01 53960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обводненных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карьерах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рыбопосадочного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R3960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R3960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противоэпизоотической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обстановки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добычи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рыбопромысловых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орудий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рыбоохранных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15 2 01 59100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15 2 01 59100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15 2 01 81040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15 2 01 81040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заразных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домашних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зоопарковых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пушных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зверей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противоэпизоотических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16 1 01 23720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16 1 01 23720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16 1 01 23720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транспортировки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вакцинации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чипирования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уничтожения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эвтаназии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Освоение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ускоренных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инвазионных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очагов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африканской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АЧС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африканской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африканской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АЧС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лейкозом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Недопущение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инфицирования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лейкоза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ейкозом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16 4 02 01450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16 4 02 01450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берегоукрепительных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затопления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подтопления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утративших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самоочищению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засорения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14 0 06 51280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14 0 06 51280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R1310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R1310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12 3 02 51290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12 3 02 51290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локализация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очагов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организмов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12 3 03 51290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12 3 03 51290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генетико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селекционного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12 3 05 51290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12 3 05 51290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лесоразведения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12 3 06 51290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12 3 06 51290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лесами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12 3 07 00000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12 3 07 51290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12 3 07 51290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21 1 01 23970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21 1 01 23970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бесперебойного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пропускной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11 0 02 23060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11 0 02 23060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11 0 03 23100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11 0 03 23100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1+111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Ересино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мясохладобойни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0+000 -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0+676)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Крестец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11 0 03 54201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11 0 03 54201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1+111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Ересино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мясохладобойни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0+000 -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0+676)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Крестецком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R0189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R0189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покрытием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11 0 04 23120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11 0 04 23120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пропускной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бесперебойного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покрытием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ближайшим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пропускной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11 0 05 54203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11 0 05 54203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покрытием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ближайшим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R0186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R0186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совершаемых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целостности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достоверности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конфиденциальности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доверия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комитетом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разработок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конкурентоспособного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Завершение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разграничению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разграничена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разграничена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19 0 07 00000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19 0 09 00000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19 0 09 01860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19 0 09 01860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ремесленных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конференциях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ярмарках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20 4 01 81950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20 4 01 81950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ремесленных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20 4 02 23770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20 4 02 23770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субьектов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20 4 02 50646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20 4 02 50646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субьектов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R0646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R0646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микрофинансовым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кластерного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микрофинансовым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ординации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27 0 01 23060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27 0 01 23060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малоэтажного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92 7 00 09502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92 7 00 09502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малоэтажного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92 7 00 09602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92 7 00 09602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газораспределительной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газораспределительной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06 2 03 72270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06 2 03 72270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нергосбережение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06 3 00 0000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09 0 02 50184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09 0 02 50184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R0184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R0184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архитектуры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растительного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обитания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13 2 01 01110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13 2 01 01110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13 2 02 59200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13 2 02 59200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действующему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просроченной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подрядчиками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13 1 01 71350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13 1 01 71350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13 1 02 70370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13 1 02 70370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редактирования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тиражирования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радиопередач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посвященных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угодий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02 1 01 72150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02 1 01 72150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2011 - 2020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10 1 01 72500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10 1 01 72500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2.3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2011 - 2020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02 1 04 50880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02 1 04 50880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02 2 02 23550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02 2 02 23550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02 2 03 23550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02 2 03 23550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каникулярного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допризывной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мультимедийным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прогнозируемой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2016 - 2025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односменного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1 - 11 (12)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износом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50,0 %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30 0 01 55200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30 0 01 55200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R5200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R5200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R5200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гибкости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специальностям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02 3 01 38930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02 3 01 38930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2011 - 2020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ценностям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каждой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преодоление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отставания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диспропорций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гибкости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ртаменту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бучающихся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злоупотреблением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гибкости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экстремистских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межрелигиозной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толерантности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02 4 09 00000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02 4 09 99990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02 4 09 99990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17 5 02 23310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17 5 02 23310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злоупотреблением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24 6 02 01290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24 6 02 01290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каникулярного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целостной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оказавшейся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молодежью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допризывной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допризывной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04 4 05 54570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04 4 05 54570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нетерпимости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коррупционному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пропагандистскому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сопровождению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R0880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R0880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целостной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увековечению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остались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розыску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2014 - 2020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02 5 04 81990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02 5 04 81990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02 7 03 23540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02 7 03 23540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02 7 03 59900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02 7 03 59900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02 7 03 59900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престижности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18 3 05 71340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18 3 05 71340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29 1 03 72280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29 1 03 72280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допризывной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ценностям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каждой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престижности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преодоление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отставания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диспропорций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цирков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рбурга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подключение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сширения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оцифровки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просроченной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подрядчиками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03 1 03 71320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03 1 03 71320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имиджа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цирков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03 2 01 23580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03 2 01 23580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03 2 02 23580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03 2 02 23580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03 2 03 01400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03 2 03 01400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03 3 01 41010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03 3 01 41010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злоупотреблением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9.1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антибактериальных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противотуберкулезных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уберкулезом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возбудителя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чувствительности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микробактерии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удителя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01 2 00 51740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01 2 00 51740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01 2 00 54020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01 2 00 54020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туберкулёза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туберкулёзом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дневных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стационарах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оздоровительная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переработка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донорской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её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компонентов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эпидемиологическое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благополучие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иммунопрофилактику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иммунопрофилактику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злокачественными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новообразованиями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лимфоидной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кроветворной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гемофилией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муковисцидозом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гипофизарным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нанизмом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рассеянным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склерозом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трансплант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злокачественными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новообразованиями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лимфоидной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кроветворной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гемофилией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муковисцидозом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гипофизарным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нанизмом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рассеянным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склерозом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трансплантации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01 1 00 51790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01 1 00 51790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вызываемого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R3821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R3821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антивирусных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инфицированных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инфицированных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01 3 00 23660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01 3 00 23660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01 3 00 23660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01 9 00 59800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01 9 00 59800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01 9 00 59800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01 9 00 77010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01 9 00 77010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00 23860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00 23860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злоупотреблением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ение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04 6 03 61010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04 6 03 61010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1032-1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психоневрологического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Подгорное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R1110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R1110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местах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освободившимся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смесями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кормящи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01 6 00 51360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01 6 00 51360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01 7 00 22100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01 7 00 22100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01 7 00 22100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01 7 00 54600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01 7 00 54600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01 7 00 54600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вышедшим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оказавшихс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протезно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ортопедическими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04 1 01 22010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04 1 01 22010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04 1 01 61030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04 1 01 61030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04 1 01 61030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гарантированному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домовладений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льготны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путевками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04 1 02 22170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04 1 02 22170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подвергшихся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04 1 02 51370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04 1 02 51370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04 1 02 51370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нагрудным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автострахование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04 1 02 70680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04 1 02 70680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интеграции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Преодоление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разобщенности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позитивного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05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05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05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Мониторинг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пенсионерам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пенсионерам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поствакцинальных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льготы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нетрудоспос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материнством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уволенным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1032-1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язательств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0 01 50183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09 0 01 50183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R0183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R0183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трудоспособных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09 0 05 70670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09 0 05 70670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10 3 01 22140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10 3 01 22140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10 3 01 50201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10 3 01 50201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свидетельств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теринарии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гибкости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ориентирнованных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полезные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04 R0850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04 R0850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714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1941 - 1945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02 6 01 52600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02 6 01 52600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удочерении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02 6 01 61120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02 6 01 61120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02 6 03 50820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02 6 03 50820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02 6 03 70600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02 6 03 70600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R0820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R0820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причитающееся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родителю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02 7 04 61110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02 7 04 61110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медалью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R0840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R0840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беспризорности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сиротства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Содружества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04 4 03 59400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04 4 03 59400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злоупотреблением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05 1 01 81980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05 1 01 81980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отреблением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стадиона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поэтапному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поэтапному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05 2 01 22160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05 2 01 22160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18 2 01 71200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18 2 01 71200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18 2 03 70100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18 2 03 70100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18 2 04 72300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18 2 04 72300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6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70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450,3</w:t>
            </w:r>
          </w:p>
        </w:tc>
      </w:tr>
    </w:tbl>
    <w:p w:rsidR="00670B1D" w:rsidRDefault="00670B1D"/>
    <w:sectPr w:rsidR="00670B1D">
      <w:headerReference w:type="default" r:id="rId6"/>
      <w:pgSz w:w="11950" w:h="16901"/>
      <w:pgMar w:top="567" w:right="567" w:bottom="567" w:left="153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B1D" w:rsidRDefault="00670B1D">
      <w:pPr>
        <w:spacing w:after="0" w:line="240" w:lineRule="auto"/>
      </w:pPr>
      <w:r>
        <w:separator/>
      </w:r>
    </w:p>
  </w:endnote>
  <w:endnote w:type="continuationSeparator" w:id="0">
    <w:p w:rsidR="00670B1D" w:rsidRDefault="00670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B1D" w:rsidRDefault="00670B1D">
      <w:pPr>
        <w:spacing w:after="0" w:line="240" w:lineRule="auto"/>
      </w:pPr>
      <w:r>
        <w:separator/>
      </w:r>
    </w:p>
  </w:footnote>
  <w:footnote w:type="continuationSeparator" w:id="0">
    <w:p w:rsidR="00670B1D" w:rsidRDefault="00670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0B1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 w:rsidR="00C47BA6"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C47BA6">
      <w:rPr>
        <w:rFonts w:ascii="Times New Roman" w:hAnsi="Times New Roman" w:cs="Times New Roman"/>
        <w:noProof/>
        <w:color w:val="000000"/>
        <w:sz w:val="20"/>
        <w:szCs w:val="20"/>
      </w:rPr>
      <w:t>93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BA6"/>
    <w:rsid w:val="00670B1D"/>
    <w:rsid w:val="00C4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94</Pages>
  <Words>49275</Words>
  <Characters>280869</Characters>
  <Application>Microsoft Office Word</Application>
  <DocSecurity>0</DocSecurity>
  <Lines>2340</Lines>
  <Paragraphs>658</Paragraphs>
  <ScaleCrop>false</ScaleCrop>
  <Company/>
  <LinksUpToDate>false</LinksUpToDate>
  <CharactersWithSpaces>329486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van82i 06.05.2014 10:58:16; РР·РјРµРЅРµРЅ: van82i 13.02.2016 11:32:16</dc:subject>
  <dc:creator>Keysystems.DWH.ReportDesigner</dc:creator>
  <cp:lastModifiedBy>Осипов Евгений Игоревич</cp:lastModifiedBy>
  <cp:revision>2</cp:revision>
  <dcterms:created xsi:type="dcterms:W3CDTF">2016-08-09T11:51:00Z</dcterms:created>
  <dcterms:modified xsi:type="dcterms:W3CDTF">2016-08-09T11:51:00Z</dcterms:modified>
</cp:coreProperties>
</file>